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36F" w:rsidRDefault="001F6D7A">
      <w:pPr>
        <w:spacing w:after="280"/>
        <w:jc w:val="right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Форма № 18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По состоянию на 31.12.2024</w:t>
      </w:r>
      <w:r>
        <w:rPr>
          <w:rFonts w:ascii="Arial" w:hAnsi="Arial" w:cs="Times New Roman"/>
          <w:color w:val="000000"/>
          <w:sz w:val="18"/>
          <w:szCs w:val="18"/>
        </w:rPr>
        <w:t xml:space="preserve">                                    Регистрационный номер ___________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 w:cs="Times New Roman"/>
          <w:color w:val="000000"/>
          <w:sz w:val="18"/>
          <w:szCs w:val="18"/>
        </w:rPr>
        <w:t>(по учету районной комиссии)</w:t>
      </w:r>
    </w:p>
    <w:p w:rsidR="0051336F" w:rsidRDefault="001F6D7A">
      <w:pPr>
        <w:spacing w:before="280" w:after="280"/>
        <w:jc w:val="center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КАРТОЧКА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учета организации</w:t>
      </w:r>
    </w:p>
    <w:tbl>
      <w:tblPr>
        <w:tblW w:w="10581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600" w:firstRow="0" w:lastRow="0" w:firstColumn="0" w:lastColumn="0" w:noHBand="1" w:noVBand="1"/>
      </w:tblPr>
      <w:tblGrid>
        <w:gridCol w:w="3214"/>
        <w:gridCol w:w="2474"/>
        <w:gridCol w:w="1458"/>
        <w:gridCol w:w="3435"/>
      </w:tblGrid>
      <w:tr w:rsidR="0051336F">
        <w:tc>
          <w:tcPr>
            <w:tcW w:w="3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1. Полное наименование организации</w:t>
            </w:r>
          </w:p>
        </w:tc>
        <w:tc>
          <w:tcPr>
            <w:tcW w:w="7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Общество с ограниченной ответственностью «Вектор»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2. Ф. И. О., должность и номер телефона (факса) руководителя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Андреев Павел Михайлович, генеральный директор, +7 (495) 777-77-77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3. Ф. И. О., телефон (факс) ответственного за воинский учет и бронирование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Смирнова Полина Викторовна, руководитель отдела </w:t>
            </w: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кадров, +7 (495) 777-88-88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4. Дата и место регистрации (перерегистрации)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14.06.2011, Межрайонная инспекция Федеральной налоговой службы № 46 по Москве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5. Юридический адрес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115522, Москва, ул. Кошкина, дом 12, корп. 1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6. Фактический адрес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115522, Москва,</w:t>
            </w: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 ул. Кошкина, дом 12, корп. 1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7. Почтовый адрес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115522, Москва, ул. Кошкина, дом 12, корп. 1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8. Вышестоящая организация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9. Основные коды организации: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336F" w:rsidRDefault="0051336F">
            <w:pPr>
              <w:widowControl w:val="0"/>
              <w:ind w:left="75" w:right="75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  <w:tr w:rsidR="0051336F">
        <w:tc>
          <w:tcPr>
            <w:tcW w:w="7145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51336F">
            <w:pPr>
              <w:widowControl w:val="0"/>
              <w:ind w:left="75" w:right="75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Цифровое обозначение</w:t>
            </w:r>
          </w:p>
        </w:tc>
      </w:tr>
      <w:tr w:rsidR="0051336F">
        <w:tc>
          <w:tcPr>
            <w:tcW w:w="568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Индивидуальный номер налогоплательщика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7766889955</w:t>
            </w:r>
          </w:p>
        </w:tc>
      </w:tr>
      <w:tr w:rsidR="0051336F">
        <w:tc>
          <w:tcPr>
            <w:tcW w:w="568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Основной </w:t>
            </w: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государственный регистрационный номер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ОГРН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3412345678901</w:t>
            </w:r>
          </w:p>
        </w:tc>
      </w:tr>
      <w:tr w:rsidR="0051336F">
        <w:tc>
          <w:tcPr>
            <w:tcW w:w="568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Код административно-территориального деления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ОКАТО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before="280"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45296569000</w:t>
            </w:r>
          </w:p>
        </w:tc>
      </w:tr>
      <w:tr w:rsidR="0051336F">
        <w:tc>
          <w:tcPr>
            <w:tcW w:w="5687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before="280"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ОКПО</w:t>
            </w:r>
            <w:r>
              <w:rPr>
                <w:rFonts w:ascii="Arial" w:hAnsi="Arial"/>
                <w:sz w:val="18"/>
                <w:szCs w:val="18"/>
              </w:rPr>
              <w:br/>
              <w:t>95180223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before="280"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ОКОПФ</w:t>
            </w:r>
            <w:r>
              <w:rPr>
                <w:rFonts w:ascii="Arial" w:hAnsi="Arial"/>
                <w:sz w:val="18"/>
                <w:szCs w:val="18"/>
              </w:rPr>
              <w:br/>
              <w:t>12300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Организационно-правовая форма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 xml:space="preserve">Общество с </w:t>
            </w: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ограниченной ответственностью</w:t>
            </w:r>
          </w:p>
          <w:p w:rsidR="0051336F" w:rsidRDefault="001F6D7A">
            <w:pPr>
              <w:widowControl w:val="0"/>
              <w:spacing w:before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(текстовая расшифровка)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before="280"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ОКФС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before="280"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  <w:p w:rsidR="0051336F" w:rsidRDefault="0051336F">
            <w:pPr>
              <w:widowControl w:val="0"/>
              <w:spacing w:before="280" w:after="28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Форма собственности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Частная собственность</w:t>
            </w:r>
          </w:p>
          <w:p w:rsidR="0051336F" w:rsidRDefault="001F6D7A">
            <w:pPr>
              <w:widowControl w:val="0"/>
              <w:spacing w:before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(текстовая расшифровка)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after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2</w:t>
            </w:r>
          </w:p>
          <w:p w:rsidR="0051336F" w:rsidRDefault="0051336F">
            <w:pPr>
              <w:widowControl w:val="0"/>
              <w:spacing w:before="280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Основной код ОКВЭД</w:t>
            </w: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before="280" w:after="28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z w:val="18"/>
                <w:szCs w:val="18"/>
              </w:rPr>
              <w:t>Торговля розничная преимущественно пищевыми продуктами</w:t>
            </w:r>
          </w:p>
          <w:p w:rsidR="0051336F" w:rsidRDefault="001F6D7A">
            <w:pPr>
              <w:widowControl w:val="0"/>
              <w:spacing w:before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(текстовая расшифровка)</w:t>
            </w:r>
          </w:p>
        </w:tc>
        <w:tc>
          <w:tcPr>
            <w:tcW w:w="14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ОКВЭД</w:t>
            </w:r>
          </w:p>
        </w:tc>
        <w:tc>
          <w:tcPr>
            <w:tcW w:w="3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51336F">
            <w:pPr>
              <w:widowControl w:val="0"/>
              <w:spacing w:after="280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  <w:p w:rsidR="0051336F" w:rsidRDefault="001F6D7A">
            <w:pPr>
              <w:widowControl w:val="0"/>
              <w:spacing w:before="28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47.11</w:t>
            </w:r>
          </w:p>
        </w:tc>
      </w:tr>
      <w:tr w:rsidR="0051336F">
        <w:tc>
          <w:tcPr>
            <w:tcW w:w="32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Неосновные коды ОКВЭД (цифровое обозначение)</w:t>
            </w:r>
          </w:p>
        </w:tc>
        <w:tc>
          <w:tcPr>
            <w:tcW w:w="736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336F" w:rsidRDefault="001F6D7A">
            <w:pPr>
              <w:widowControl w:val="0"/>
              <w:spacing w:after="2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47.19</w:t>
            </w:r>
          </w:p>
          <w:p w:rsidR="0051336F" w:rsidRDefault="0051336F">
            <w:pPr>
              <w:widowControl w:val="0"/>
              <w:spacing w:before="280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</w:tbl>
    <w:p w:rsidR="0051336F" w:rsidRDefault="0051336F">
      <w:pPr>
        <w:spacing w:before="280" w:after="280"/>
        <w:jc w:val="center"/>
        <w:rPr>
          <w:rFonts w:cs="Times New Roman"/>
          <w:color w:val="000000"/>
        </w:rPr>
      </w:pPr>
    </w:p>
    <w:p w:rsidR="0051336F" w:rsidRDefault="001F6D7A">
      <w:pPr>
        <w:spacing w:before="280" w:after="280"/>
        <w:jc w:val="center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 w:cs="Times New Roman"/>
          <w:b/>
          <w:bCs/>
          <w:color w:val="000000"/>
          <w:sz w:val="18"/>
          <w:szCs w:val="18"/>
        </w:rPr>
        <w:t>(оборотная сторона)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10. Сведения о </w:t>
      </w:r>
      <w:proofErr w:type="gramStart"/>
      <w:r>
        <w:rPr>
          <w:rFonts w:ascii="Arial" w:hAnsi="Arial" w:cs="Times New Roman"/>
          <w:color w:val="000000"/>
          <w:sz w:val="18"/>
          <w:szCs w:val="18"/>
        </w:rPr>
        <w:t>работающих:  5</w:t>
      </w:r>
      <w:proofErr w:type="gramEnd"/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всего работающих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из них: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lastRenderedPageBreak/>
        <w:t xml:space="preserve">10.1. Граждан, пребывающих в запасе: 2 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из них: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а) офицеров и генералов: 1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 xml:space="preserve">б) прапорщиков, мичманов, сержантов и старшин, </w:t>
      </w:r>
      <w:r>
        <w:rPr>
          <w:rFonts w:ascii="Arial" w:hAnsi="Arial" w:cs="Times New Roman"/>
          <w:color w:val="000000"/>
          <w:sz w:val="18"/>
          <w:szCs w:val="18"/>
        </w:rPr>
        <w:t>солдат и матросов: 1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в) в том числе ограниченно годных к военной службе: 0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10.2. Забронировано граждан, пребывающих в запасе: 1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10.3. Граждан, пребывающих в запасе, имеющих </w:t>
      </w:r>
      <w:proofErr w:type="spellStart"/>
      <w:r>
        <w:rPr>
          <w:rFonts w:ascii="Arial" w:hAnsi="Arial" w:cs="Times New Roman"/>
          <w:color w:val="000000"/>
          <w:sz w:val="18"/>
          <w:szCs w:val="18"/>
        </w:rPr>
        <w:t>мобпредписания</w:t>
      </w:r>
      <w:proofErr w:type="spellEnd"/>
      <w:r>
        <w:rPr>
          <w:rFonts w:ascii="Arial" w:hAnsi="Arial" w:cs="Times New Roman"/>
          <w:color w:val="000000"/>
          <w:sz w:val="18"/>
          <w:szCs w:val="18"/>
        </w:rPr>
        <w:t>: 1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10.4. Граждан, подлежащих призыву на военную службу: 0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10.5. Неза</w:t>
      </w:r>
      <w:r>
        <w:rPr>
          <w:rFonts w:ascii="Arial" w:hAnsi="Arial" w:cs="Times New Roman"/>
          <w:color w:val="000000"/>
          <w:sz w:val="18"/>
          <w:szCs w:val="18"/>
        </w:rPr>
        <w:t xml:space="preserve">бронированных граждан, пребывающих в запасе: 0 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11. Ведет ли организация бронирование (да, нет): да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12. Коды вида экономической деятельности и должности из Перечня должностей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и профессий, по которым бронируются граждане, пребывающие в запасе. 47.19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13. В с</w:t>
      </w:r>
      <w:r>
        <w:rPr>
          <w:rFonts w:ascii="Arial" w:hAnsi="Arial" w:cs="Times New Roman"/>
          <w:color w:val="000000"/>
          <w:sz w:val="18"/>
          <w:szCs w:val="18"/>
        </w:rPr>
        <w:t>фере ведения какого органа государственной власти находится: «</w:t>
      </w:r>
      <w:proofErr w:type="spellStart"/>
      <w:r>
        <w:rPr>
          <w:rFonts w:ascii="Arial" w:hAnsi="Arial" w:cs="Times New Roman"/>
          <w:color w:val="000000"/>
          <w:sz w:val="18"/>
          <w:szCs w:val="18"/>
        </w:rPr>
        <w:t>Субъектовые</w:t>
      </w:r>
      <w:proofErr w:type="spellEnd"/>
      <w:r>
        <w:rPr>
          <w:rFonts w:ascii="Arial" w:hAnsi="Arial" w:cs="Times New Roman"/>
          <w:color w:val="000000"/>
          <w:sz w:val="18"/>
          <w:szCs w:val="18"/>
        </w:rPr>
        <w:t xml:space="preserve"> органы»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14. Входит в орган управления государственной власти, орган местного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самоуправления (да, нет): нет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15. Дополнительная информация: нет</w:t>
      </w:r>
    </w:p>
    <w:tbl>
      <w:tblPr>
        <w:tblW w:w="9027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 w:firstRow="0" w:lastRow="0" w:firstColumn="0" w:lastColumn="0" w:noHBand="1" w:noVBand="1"/>
      </w:tblPr>
      <w:tblGrid>
        <w:gridCol w:w="3246"/>
        <w:gridCol w:w="1835"/>
        <w:gridCol w:w="3946"/>
      </w:tblGrid>
      <w:tr w:rsidR="0051336F">
        <w:tc>
          <w:tcPr>
            <w:tcW w:w="3246" w:type="dxa"/>
            <w:tcBorders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Директор</w:t>
            </w:r>
          </w:p>
        </w:tc>
        <w:tc>
          <w:tcPr>
            <w:tcW w:w="1835" w:type="dxa"/>
            <w:tcBorders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Андреев</w:t>
            </w:r>
          </w:p>
        </w:tc>
        <w:tc>
          <w:tcPr>
            <w:tcW w:w="3946" w:type="dxa"/>
            <w:tcBorders>
              <w:bottom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П.М. Андреев</w:t>
            </w:r>
          </w:p>
        </w:tc>
      </w:tr>
      <w:tr w:rsidR="0051336F">
        <w:tc>
          <w:tcPr>
            <w:tcW w:w="3246" w:type="dxa"/>
            <w:tcBorders>
              <w:top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(руководитель организации)</w:t>
            </w:r>
          </w:p>
        </w:tc>
        <w:tc>
          <w:tcPr>
            <w:tcW w:w="1835" w:type="dxa"/>
            <w:tcBorders>
              <w:top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3946" w:type="dxa"/>
            <w:tcBorders>
              <w:top w:val="single" w:sz="6" w:space="0" w:color="000000"/>
            </w:tcBorders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(инициалы, фамилия)</w:t>
            </w:r>
          </w:p>
        </w:tc>
      </w:tr>
      <w:tr w:rsidR="0051336F">
        <w:tc>
          <w:tcPr>
            <w:tcW w:w="3246" w:type="dxa"/>
          </w:tcPr>
          <w:p w:rsidR="0051336F" w:rsidRDefault="001F6D7A">
            <w:pPr>
              <w:widowControl w:val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1835" w:type="dxa"/>
          </w:tcPr>
          <w:p w:rsidR="0051336F" w:rsidRDefault="0051336F">
            <w:pPr>
              <w:widowControl w:val="0"/>
              <w:ind w:left="75" w:right="75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946" w:type="dxa"/>
          </w:tcPr>
          <w:p w:rsidR="0051336F" w:rsidRDefault="0051336F">
            <w:pPr>
              <w:widowControl w:val="0"/>
              <w:ind w:left="75" w:right="75"/>
              <w:rPr>
                <w:rFonts w:ascii="Arial" w:hAnsi="Arial" w:cs="Times New Roman"/>
                <w:color w:val="000000"/>
                <w:sz w:val="18"/>
                <w:szCs w:val="18"/>
              </w:rPr>
            </w:pPr>
          </w:p>
        </w:tc>
      </w:tr>
    </w:tbl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>«20» декабря 2024</w:t>
      </w:r>
      <w:bookmarkStart w:id="0" w:name="_GoBack"/>
      <w:bookmarkEnd w:id="0"/>
      <w:r>
        <w:rPr>
          <w:rFonts w:ascii="Arial" w:hAnsi="Arial" w:cs="Times New Roman"/>
          <w:color w:val="000000"/>
          <w:sz w:val="18"/>
          <w:szCs w:val="18"/>
        </w:rPr>
        <w:t xml:space="preserve"> года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 xml:space="preserve">Отметка о снятии с учета (ликвидации организации) ___________________________________________ </w:t>
      </w:r>
      <w:r>
        <w:rPr>
          <w:rFonts w:ascii="Arial" w:hAnsi="Arial" w:cs="Times New Roman"/>
          <w:color w:val="000000"/>
          <w:sz w:val="18"/>
          <w:szCs w:val="18"/>
        </w:rPr>
        <w:t>__________________________________________________________________________________________________</w:t>
      </w:r>
      <w:r>
        <w:rPr>
          <w:rFonts w:ascii="Arial" w:hAnsi="Arial"/>
          <w:sz w:val="18"/>
          <w:szCs w:val="18"/>
        </w:rPr>
        <w:br/>
      </w:r>
      <w:r>
        <w:rPr>
          <w:rFonts w:ascii="Arial" w:hAnsi="Arial" w:cs="Times New Roman"/>
          <w:color w:val="000000"/>
          <w:sz w:val="18"/>
          <w:szCs w:val="18"/>
        </w:rPr>
        <w:t>(заполняется в районной комиссии)</w:t>
      </w:r>
    </w:p>
    <w:p w:rsidR="0051336F" w:rsidRDefault="001F6D7A">
      <w:pPr>
        <w:spacing w:before="280" w:after="280"/>
        <w:rPr>
          <w:rFonts w:ascii="Arial" w:hAnsi="Arial"/>
          <w:sz w:val="18"/>
          <w:szCs w:val="18"/>
        </w:rPr>
      </w:pPr>
      <w:r>
        <w:rPr>
          <w:rFonts w:ascii="Arial" w:hAnsi="Arial" w:cs="Times New Roman"/>
          <w:color w:val="000000"/>
          <w:sz w:val="18"/>
          <w:szCs w:val="18"/>
        </w:rPr>
        <w:t xml:space="preserve"> </w:t>
      </w:r>
    </w:p>
    <w:sectPr w:rsidR="0051336F">
      <w:pgSz w:w="11906" w:h="16838"/>
      <w:pgMar w:top="1440" w:right="587" w:bottom="1440" w:left="77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6F"/>
    <w:rsid w:val="001F6D7A"/>
    <w:rsid w:val="0051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7483"/>
  <w15:docId w15:val="{368D8ABE-1912-48F4-AB82-007528BD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Коршун Яна Витальевна</cp:lastModifiedBy>
  <cp:revision>7</cp:revision>
  <dcterms:created xsi:type="dcterms:W3CDTF">2011-11-02T04:15:00Z</dcterms:created>
  <dcterms:modified xsi:type="dcterms:W3CDTF">2025-01-29T14:03:00Z</dcterms:modified>
  <dc:language>ru-RU</dc:language>
</cp:coreProperties>
</file>