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8D" w:rsidRPr="00B1068D" w:rsidRDefault="00B1068D" w:rsidP="00B1068D">
      <w:pPr>
        <w:jc w:val="center"/>
        <w:rPr>
          <w:b/>
        </w:rPr>
      </w:pPr>
      <w:r w:rsidRPr="00B1068D">
        <w:rPr>
          <w:b/>
        </w:rPr>
        <w:t xml:space="preserve">Инструкция по подготовке договора </w:t>
      </w:r>
      <w:r>
        <w:rPr>
          <w:b/>
        </w:rPr>
        <w:t>дарения</w:t>
      </w:r>
      <w:r w:rsidRPr="00B1068D">
        <w:rPr>
          <w:b/>
        </w:rPr>
        <w:t xml:space="preserve"> в Конструкторе договоров и бланков</w:t>
      </w:r>
    </w:p>
    <w:p w:rsidR="00B1068D" w:rsidRDefault="00B1068D" w:rsidP="00B1068D">
      <w:r>
        <w:t xml:space="preserve">Настоящий договор </w:t>
      </w:r>
      <w:r>
        <w:t>дарения</w:t>
      </w:r>
      <w:r>
        <w:t xml:space="preserve"> разработан в Конструкторе договоров и бланков, к которому вы можете получить доступ в своем личном кабинете. </w:t>
      </w:r>
      <w:bookmarkStart w:id="0" w:name="_GoBack"/>
      <w:bookmarkEnd w:id="0"/>
    </w:p>
    <w:p w:rsidR="00B67827" w:rsidRDefault="00B1068D" w:rsidP="00B1068D">
      <w:pPr>
        <w:jc w:val="center"/>
        <w:rPr>
          <w:b/>
        </w:rPr>
      </w:pPr>
      <w:r w:rsidRPr="00AC2C8F">
        <w:rPr>
          <w:b/>
        </w:rPr>
        <w:t>Общая инструкция по работе с Конструктором договоров и бланков</w:t>
      </w:r>
    </w:p>
    <w:p w:rsidR="00B86111" w:rsidRDefault="00B1068D" w:rsidP="00B86111">
      <w:r w:rsidRPr="00B1068D">
        <w:t>1.</w:t>
      </w:r>
      <w:r w:rsidR="00B86111">
        <w:t>Договор дарения – это сделка</w:t>
      </w:r>
      <w:r w:rsidR="00B86111">
        <w:t xml:space="preserve">, по которой даритель </w:t>
      </w:r>
      <w:r w:rsidR="00B86111">
        <w:t xml:space="preserve">безвозмездно передает (или обязуется это сделать в будущем) </w:t>
      </w:r>
      <w:r w:rsidR="00B86111">
        <w:t>одариваемому</w:t>
      </w:r>
      <w:r w:rsidR="00B86111">
        <w:t xml:space="preserve"> в собственность </w:t>
      </w:r>
      <w:r w:rsidR="00B86111">
        <w:t>имущество</w:t>
      </w:r>
      <w:r w:rsidR="00B86111">
        <w:t>, деньги, имущественное право.</w:t>
      </w:r>
      <w:r w:rsidR="00B86111">
        <w:t xml:space="preserve"> </w:t>
      </w:r>
      <w:r w:rsidR="00A06E19">
        <w:t>Договор дарения может также освобождать одаряемого от имущественной ответственности перед дарителем или перед третьим лицом.</w:t>
      </w:r>
      <w:r w:rsidR="00A06E19">
        <w:t xml:space="preserve"> Вы </w:t>
      </w:r>
      <w:r w:rsidR="00B86111">
        <w:t>можете выбрать тот шаблон договора дарения, который максимально подходит вашей ситуации. В этом примере будет рассмотрена подготовка общего договора дарения.</w:t>
      </w:r>
      <w:r w:rsidR="00A06E19">
        <w:rPr>
          <w:noProof/>
          <w:lang w:eastAsia="ru-RU"/>
        </w:rPr>
        <w:drawing>
          <wp:inline distT="0" distB="0" distL="0" distR="0" wp14:anchorId="4113E3C9" wp14:editId="08F4EDB9">
            <wp:extent cx="5940425" cy="36493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19" w:rsidRDefault="00A06E19" w:rsidP="00B86111">
      <w:r>
        <w:t>2.При указании правового статуса сторон обращайте внимание на то, что Гражданским кодексом установлен запрет на дарение между коммерческими лицами (</w:t>
      </w:r>
      <w:r>
        <w:t xml:space="preserve">к </w:t>
      </w:r>
      <w:r>
        <w:t>которым</w:t>
      </w:r>
      <w:r>
        <w:t>, согласно статье 23 ГК РФ, приравнивают и и</w:t>
      </w:r>
      <w:r>
        <w:t>ндивидуальных предпринимателей) дара стоимостью свыше 3 000 рублей. Все ограничения на дарения по субъектном составу указаны в статье 575 ГК РФ.</w:t>
      </w:r>
      <w:r>
        <w:rPr>
          <w:noProof/>
          <w:lang w:eastAsia="ru-RU"/>
        </w:rPr>
        <w:drawing>
          <wp:inline distT="0" distB="0" distL="0" distR="0" wp14:anchorId="4B842962" wp14:editId="1ECF579C">
            <wp:extent cx="5940425" cy="24511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E4" w:rsidRDefault="005231E4" w:rsidP="005231E4">
      <w:r>
        <w:lastRenderedPageBreak/>
        <w:t>Подробное описание дара является</w:t>
      </w:r>
      <w:r>
        <w:t xml:space="preserve"> </w:t>
      </w:r>
      <w:r>
        <w:t xml:space="preserve">существенным </w:t>
      </w:r>
      <w:r>
        <w:t>условием договора дарения</w:t>
      </w:r>
      <w:r>
        <w:t>.</w:t>
      </w:r>
      <w:r>
        <w:t xml:space="preserve"> Описание индивидуальных характеристик </w:t>
      </w:r>
      <w:r>
        <w:t xml:space="preserve">имущества, которое передается в дар, </w:t>
      </w:r>
      <w:r w:rsidR="00645D09">
        <w:t>может быть приведено не только в тексте самого договора, но и в приложении</w:t>
      </w:r>
      <w:r w:rsidR="00645D09">
        <w:t xml:space="preserve"> к нему. </w:t>
      </w:r>
    </w:p>
    <w:p w:rsidR="00A06E19" w:rsidRDefault="005231E4" w:rsidP="00B86111">
      <w:r>
        <w:t xml:space="preserve">Если в дар передается имущественное право, то </w:t>
      </w:r>
      <w:r w:rsidR="00645D09">
        <w:t xml:space="preserve">необходимо указать, на основании чего </w:t>
      </w:r>
      <w:r w:rsidR="00645D09">
        <w:t xml:space="preserve">у дарителя возникло </w:t>
      </w:r>
      <w:r w:rsidR="00645D09">
        <w:t xml:space="preserve">это </w:t>
      </w:r>
      <w:r w:rsidR="00645D09">
        <w:t>право</w:t>
      </w:r>
      <w:r w:rsidR="00645D09">
        <w:t>. Например, право</w:t>
      </w:r>
      <w:r w:rsidR="00645D09">
        <w:t xml:space="preserve"> требования</w:t>
      </w:r>
      <w:r w:rsidR="00645D09">
        <w:t xml:space="preserve"> дарителем </w:t>
      </w:r>
      <w:r w:rsidR="00645D09">
        <w:t>дебиторской задолженности</w:t>
      </w:r>
      <w:r w:rsidR="00645D09">
        <w:t xml:space="preserve"> от третьего лица может возникнуть на основании договора поставки. </w:t>
      </w:r>
      <w:r>
        <w:rPr>
          <w:noProof/>
          <w:lang w:eastAsia="ru-RU"/>
        </w:rPr>
        <w:drawing>
          <wp:inline distT="0" distB="0" distL="0" distR="0" wp14:anchorId="612107A6" wp14:editId="4ABD6AB0">
            <wp:extent cx="5940425" cy="19678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D09" w:rsidRDefault="00645D09" w:rsidP="00B86111">
      <w:r>
        <w:t xml:space="preserve">Обязанности дарителя по передаче дара в будущем по общему правилу статьи 581 ГК РФ переходят к его наследникам или </w:t>
      </w:r>
      <w:r w:rsidRPr="00645D09">
        <w:t>правопреемникам</w:t>
      </w:r>
      <w:r>
        <w:t xml:space="preserve">, поэтому если вас это условие не устраивает, выберите </w:t>
      </w:r>
      <w:r w:rsidR="005F7653">
        <w:t>пункт «</w:t>
      </w:r>
      <w:r w:rsidR="005F7653" w:rsidRPr="005F7653">
        <w:t>Не переходят к его наследникам (правопреемникам)</w:t>
      </w:r>
      <w:r w:rsidR="005F7653">
        <w:t>»</w:t>
      </w:r>
      <w:r w:rsidR="005F7653" w:rsidRPr="005F7653">
        <w:t>.</w:t>
      </w:r>
      <w:r w:rsidR="005F7653">
        <w:t xml:space="preserve"> </w:t>
      </w:r>
    </w:p>
    <w:p w:rsidR="00645D09" w:rsidRDefault="005F7653" w:rsidP="00B86111">
      <w:r>
        <w:t xml:space="preserve">Диспозитивным (т.е. дающим сторонам право выбора) является и условие о переходе прав одаряемого на получение обещанного дара к его наследникам </w:t>
      </w:r>
      <w:r w:rsidRPr="005F7653">
        <w:t>или правопреемникам</w:t>
      </w:r>
      <w:r>
        <w:t xml:space="preserve">. Здесь ситуация обратная – Гражданский кодекс определяет, что эти права не передаются, если только стороны договора дара прямо не </w:t>
      </w:r>
      <w:r w:rsidR="00254D83">
        <w:t>пропишут</w:t>
      </w:r>
      <w:r>
        <w:t xml:space="preserve"> договорное условие о переходе прав на получение дара по наследству или правопреемству. </w:t>
      </w:r>
      <w:r w:rsidR="00BB6F18">
        <w:rPr>
          <w:noProof/>
          <w:lang w:eastAsia="ru-RU"/>
        </w:rPr>
        <w:drawing>
          <wp:inline distT="0" distB="0" distL="0" distR="0" wp14:anchorId="54474631" wp14:editId="5EDDC06C">
            <wp:extent cx="5940425" cy="17024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18" w:rsidRDefault="00BB6F18" w:rsidP="00BB6F18">
      <w:r>
        <w:t xml:space="preserve">Далее </w:t>
      </w:r>
      <w:r w:rsidRPr="00BB6F18">
        <w:t>укажите обычные договорные условия относительно ответственности сторон и порядка рассмотрения споров.</w:t>
      </w:r>
      <w:r>
        <w:t xml:space="preserve"> </w:t>
      </w:r>
    </w:p>
    <w:p w:rsidR="00BB6F18" w:rsidRDefault="00BB6F18" w:rsidP="00BB6F18">
      <w:r w:rsidRPr="00BB6F18">
        <w:t>В статье про договор дарения вы можете ознакомиться с ситуациями, в которых даритель может отказаться от передачи дара, и с особенностями договора дарения в предпринимательской деятельности.</w:t>
      </w:r>
    </w:p>
    <w:p w:rsidR="00BB6F18" w:rsidRDefault="00BB6F18" w:rsidP="00B86111">
      <w:r>
        <w:rPr>
          <w:noProof/>
          <w:lang w:eastAsia="ru-RU"/>
        </w:rPr>
        <w:lastRenderedPageBreak/>
        <w:drawing>
          <wp:inline distT="0" distB="0" distL="0" distR="0" wp14:anchorId="510264EC" wp14:editId="63E69AEF">
            <wp:extent cx="5940425" cy="35693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18" w:rsidRDefault="00BB6F18" w:rsidP="00B86111">
      <w:r w:rsidRPr="00BB6F18">
        <w:t xml:space="preserve">3. Далее по тексту договора </w:t>
      </w:r>
      <w:r>
        <w:t>дарения</w:t>
      </w:r>
      <w:r w:rsidRPr="00BB6F18">
        <w:t xml:space="preserve"> внесите данные </w:t>
      </w:r>
      <w:r>
        <w:t xml:space="preserve">дарителя и одаряемого, </w:t>
      </w:r>
      <w:r w:rsidRPr="00BB6F18">
        <w:t xml:space="preserve">поля с шрифтом синего цвета </w:t>
      </w:r>
      <w:proofErr w:type="spellStart"/>
      <w:r w:rsidRPr="00BB6F18">
        <w:t>кликабельны</w:t>
      </w:r>
      <w:proofErr w:type="spellEnd"/>
      <w:r w:rsidRPr="00BB6F18">
        <w:t xml:space="preserve"> и доступны для редактирования. </w:t>
      </w:r>
    </w:p>
    <w:p w:rsidR="00BB6F18" w:rsidRDefault="00BB6F18" w:rsidP="00B86111">
      <w:r>
        <w:rPr>
          <w:noProof/>
          <w:lang w:eastAsia="ru-RU"/>
        </w:rPr>
        <w:drawing>
          <wp:inline distT="0" distB="0" distL="0" distR="0" wp14:anchorId="036DD388" wp14:editId="780DA86E">
            <wp:extent cx="5940425" cy="383984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2C" w:rsidRDefault="0025032C" w:rsidP="00B86111">
      <w:r w:rsidRPr="0025032C">
        <w:t xml:space="preserve">Кроме текста самого договора </w:t>
      </w:r>
      <w:r w:rsidR="00740FF9">
        <w:t xml:space="preserve">дарения </w:t>
      </w:r>
      <w:r w:rsidRPr="0025032C">
        <w:t xml:space="preserve">вам доступны другие документы: дополнительные соглашения, протоколы разногласий и их согласования, акты приема-передачи </w:t>
      </w:r>
      <w:r w:rsidR="00740FF9">
        <w:t xml:space="preserve">дара. </w:t>
      </w:r>
    </w:p>
    <w:p w:rsidR="00BB6F18" w:rsidRDefault="0025032C">
      <w:r>
        <w:rPr>
          <w:noProof/>
          <w:lang w:eastAsia="ru-RU"/>
        </w:rPr>
        <w:lastRenderedPageBreak/>
        <w:drawing>
          <wp:inline distT="0" distB="0" distL="0" distR="0" wp14:anchorId="48DEA785" wp14:editId="64E3C45B">
            <wp:extent cx="5940425" cy="38182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F1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10" w:rsidRDefault="003A0710" w:rsidP="00B1068D">
      <w:pPr>
        <w:spacing w:after="0" w:line="240" w:lineRule="auto"/>
      </w:pPr>
      <w:r>
        <w:separator/>
      </w:r>
    </w:p>
  </w:endnote>
  <w:endnote w:type="continuationSeparator" w:id="0">
    <w:p w:rsidR="003A0710" w:rsidRDefault="003A0710" w:rsidP="00B1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10" w:rsidRDefault="003A0710" w:rsidP="00B1068D">
      <w:pPr>
        <w:spacing w:after="0" w:line="240" w:lineRule="auto"/>
      </w:pPr>
      <w:r>
        <w:separator/>
      </w:r>
    </w:p>
  </w:footnote>
  <w:footnote w:type="continuationSeparator" w:id="0">
    <w:p w:rsidR="003A0710" w:rsidRDefault="003A0710" w:rsidP="00B1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8D" w:rsidRDefault="00B1068D" w:rsidP="00B1068D">
    <w:pPr>
      <w:pStyle w:val="a3"/>
      <w:jc w:val="center"/>
      <w:rPr>
        <w:b/>
      </w:rPr>
    </w:pPr>
    <w:hyperlink r:id="rId1" w:history="1">
      <w:r w:rsidRPr="00B1068D">
        <w:rPr>
          <w:rStyle w:val="a7"/>
          <w:b/>
        </w:rPr>
        <w:t>Настоящий договор разработан в Конструкторе договоров и бланков на портале 1С</w:t>
      </w:r>
    </w:hyperlink>
  </w:p>
  <w:p w:rsidR="00B1068D" w:rsidRPr="00B1068D" w:rsidRDefault="00B1068D" w:rsidP="00B1068D">
    <w:pPr>
      <w:pStyle w:val="a3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61"/>
    <w:rsid w:val="0022717C"/>
    <w:rsid w:val="0025032C"/>
    <w:rsid w:val="00254D83"/>
    <w:rsid w:val="002B6861"/>
    <w:rsid w:val="002D6AAF"/>
    <w:rsid w:val="003A0710"/>
    <w:rsid w:val="005231E4"/>
    <w:rsid w:val="005F7653"/>
    <w:rsid w:val="00645D09"/>
    <w:rsid w:val="00740FF9"/>
    <w:rsid w:val="00A06E19"/>
    <w:rsid w:val="00AC2C8F"/>
    <w:rsid w:val="00B1068D"/>
    <w:rsid w:val="00B67827"/>
    <w:rsid w:val="00B86111"/>
    <w:rsid w:val="00B9703B"/>
    <w:rsid w:val="00B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2EA3-8026-49FD-8A59-18B42FC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68D"/>
  </w:style>
  <w:style w:type="paragraph" w:styleId="a5">
    <w:name w:val="footer"/>
    <w:basedOn w:val="a"/>
    <w:link w:val="a6"/>
    <w:uiPriority w:val="99"/>
    <w:unhideWhenUsed/>
    <w:rsid w:val="00B1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68D"/>
  </w:style>
  <w:style w:type="character" w:styleId="a7">
    <w:name w:val="Hyperlink"/>
    <w:basedOn w:val="a0"/>
    <w:uiPriority w:val="99"/>
    <w:unhideWhenUsed/>
    <w:rsid w:val="00B10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377</Words>
  <Characters>2443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2015-07-30T06:20:00Z</dcterms:created>
  <dcterms:modified xsi:type="dcterms:W3CDTF">2015-07-30T08:39:00Z</dcterms:modified>
</cp:coreProperties>
</file>