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B3" w:rsidRDefault="00FE49C9">
      <w:pPr>
        <w:pStyle w:val="ConsPlusTitle"/>
        <w:ind w:firstLine="540"/>
        <w:jc w:val="both"/>
        <w:outlineLvl w:val="0"/>
      </w:pPr>
      <w:bookmarkStart w:id="0" w:name="_GoBack"/>
      <w:bookmarkEnd w:id="0"/>
      <w:r>
        <w:t>Статья 2. Ставки торгового сбора</w:t>
      </w:r>
    </w:p>
    <w:p w:rsidR="000C4FB3" w:rsidRDefault="000C4FB3">
      <w:pPr>
        <w:pStyle w:val="ConsPlusNormal"/>
        <w:jc w:val="both"/>
      </w:pPr>
    </w:p>
    <w:p w:rsidR="000C4FB3" w:rsidRDefault="00FE49C9">
      <w:pPr>
        <w:pStyle w:val="ConsPlusNormal"/>
        <w:ind w:firstLine="540"/>
        <w:jc w:val="both"/>
      </w:pPr>
      <w:r>
        <w:t xml:space="preserve">Установить </w:t>
      </w:r>
      <w:hyperlink r:id="rId4" w:history="1">
        <w:r>
          <w:rPr>
            <w:color w:val="0000FF"/>
          </w:rPr>
          <w:t>ставки</w:t>
        </w:r>
      </w:hyperlink>
      <w:r>
        <w:t xml:space="preserve"> торгового сбора в следующих размерах:</w:t>
      </w:r>
    </w:p>
    <w:p w:rsidR="000C4FB3" w:rsidRDefault="000C4F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
        <w:gridCol w:w="5920"/>
        <w:gridCol w:w="2154"/>
        <w:gridCol w:w="2119"/>
      </w:tblGrid>
      <w:tr w:rsidR="000C4FB3">
        <w:tc>
          <w:tcPr>
            <w:tcW w:w="652" w:type="dxa"/>
            <w:tcBorders>
              <w:top w:val="single" w:sz="4" w:space="0" w:color="auto"/>
              <w:left w:val="single" w:sz="4" w:space="0" w:color="auto"/>
              <w:bottom w:val="single" w:sz="4" w:space="0" w:color="auto"/>
              <w:right w:val="single" w:sz="4" w:space="0" w:color="auto"/>
            </w:tcBorders>
          </w:tcPr>
          <w:p w:rsidR="000C4FB3" w:rsidRDefault="00FE49C9">
            <w:pPr>
              <w:pStyle w:val="ConsPlusNormal"/>
              <w:jc w:val="center"/>
            </w:pPr>
            <w:r>
              <w:t>N п/п</w:t>
            </w: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jc w:val="center"/>
            </w:pPr>
            <w:r>
              <w:t>Вид торговой деятельности</w:t>
            </w:r>
          </w:p>
        </w:tc>
        <w:tc>
          <w:tcPr>
            <w:tcW w:w="2154" w:type="dxa"/>
            <w:tcBorders>
              <w:top w:val="single" w:sz="4" w:space="0" w:color="auto"/>
              <w:left w:val="single" w:sz="4" w:space="0" w:color="auto"/>
              <w:bottom w:val="single" w:sz="4" w:space="0" w:color="auto"/>
              <w:right w:val="single" w:sz="4" w:space="0" w:color="auto"/>
            </w:tcBorders>
          </w:tcPr>
          <w:p w:rsidR="000C4FB3" w:rsidRDefault="00FE49C9">
            <w:pPr>
              <w:pStyle w:val="ConsPlusNormal"/>
              <w:jc w:val="center"/>
            </w:pPr>
            <w:r>
              <w:t>Физический показатель</w:t>
            </w: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jc w:val="center"/>
            </w:pPr>
            <w:r>
              <w:t>Ставка торгового сбора (рублей за квартал)</w:t>
            </w:r>
          </w:p>
        </w:tc>
      </w:tr>
      <w:tr w:rsidR="000C4FB3">
        <w:tc>
          <w:tcPr>
            <w:tcW w:w="652" w:type="dxa"/>
            <w:tcBorders>
              <w:top w:val="single" w:sz="4" w:space="0" w:color="auto"/>
              <w:left w:val="single" w:sz="4" w:space="0" w:color="auto"/>
              <w:right w:val="single" w:sz="4" w:space="0" w:color="auto"/>
            </w:tcBorders>
          </w:tcPr>
          <w:p w:rsidR="000C4FB3" w:rsidRDefault="00FE49C9">
            <w:pPr>
              <w:pStyle w:val="ConsPlusNormal"/>
            </w:pPr>
            <w:r>
              <w:t>1.</w:t>
            </w:r>
          </w:p>
        </w:tc>
        <w:tc>
          <w:tcPr>
            <w:tcW w:w="5920" w:type="dxa"/>
            <w:tcBorders>
              <w:top w:val="single" w:sz="4" w:space="0" w:color="auto"/>
              <w:left w:val="single" w:sz="4" w:space="0" w:color="auto"/>
              <w:right w:val="single" w:sz="4" w:space="0" w:color="auto"/>
            </w:tcBorders>
          </w:tcPr>
          <w:p w:rsidR="000C4FB3" w:rsidRDefault="00FE49C9">
            <w:pPr>
              <w:pStyle w:val="ConsPlusNormal"/>
            </w:pPr>
            <w:r>
              <w:t>Торговля через объекты стационарной торговой сети, не имеющие торговых залов (за исключением объектов стационарной торговой сети, не имеющих торговых залов, являющихся автозаправочными станциями), в:</w:t>
            </w:r>
          </w:p>
        </w:tc>
        <w:tc>
          <w:tcPr>
            <w:tcW w:w="2154" w:type="dxa"/>
            <w:tcBorders>
              <w:top w:val="single" w:sz="4" w:space="0" w:color="auto"/>
              <w:left w:val="single" w:sz="4" w:space="0" w:color="auto"/>
              <w:right w:val="single" w:sz="4" w:space="0" w:color="auto"/>
            </w:tcBorders>
          </w:tcPr>
          <w:p w:rsidR="000C4FB3" w:rsidRDefault="00FE49C9">
            <w:pPr>
              <w:pStyle w:val="ConsPlusNormal"/>
            </w:pPr>
            <w:r>
              <w:t>Объект осуществления торговли</w:t>
            </w:r>
          </w:p>
        </w:tc>
        <w:tc>
          <w:tcPr>
            <w:tcW w:w="2119" w:type="dxa"/>
            <w:tcBorders>
              <w:top w:val="single" w:sz="4" w:space="0" w:color="auto"/>
              <w:left w:val="single" w:sz="4" w:space="0" w:color="auto"/>
              <w:right w:val="single" w:sz="4" w:space="0" w:color="auto"/>
            </w:tcBorders>
          </w:tcPr>
          <w:p w:rsidR="000C4FB3" w:rsidRDefault="000C4FB3">
            <w:pPr>
              <w:pStyle w:val="ConsPlusNormal"/>
            </w:pPr>
          </w:p>
        </w:tc>
      </w:tr>
      <w:tr w:rsidR="000C4FB3">
        <w:tc>
          <w:tcPr>
            <w:tcW w:w="10845" w:type="dxa"/>
            <w:gridSpan w:val="4"/>
            <w:tcBorders>
              <w:left w:val="single" w:sz="4" w:space="0" w:color="auto"/>
              <w:bottom w:val="single" w:sz="4" w:space="0" w:color="auto"/>
              <w:right w:val="single" w:sz="4" w:space="0" w:color="auto"/>
            </w:tcBorders>
          </w:tcPr>
          <w:p w:rsidR="000C4FB3" w:rsidRDefault="00FE49C9">
            <w:pPr>
              <w:pStyle w:val="ConsPlusNormal"/>
              <w:jc w:val="both"/>
            </w:pPr>
            <w:r>
              <w:t xml:space="preserve">(в ред. </w:t>
            </w:r>
            <w:hyperlink r:id="rId5" w:history="1">
              <w:r>
                <w:rPr>
                  <w:color w:val="0000FF"/>
                </w:rPr>
                <w:t>Закона</w:t>
              </w:r>
            </w:hyperlink>
            <w:r>
              <w:t xml:space="preserve"> г. Москвы от 29.11.2017 N 45)</w:t>
            </w: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1) районах, входящих в Центральный административный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81000</w:t>
            </w: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 xml:space="preserve">2) районах и поселениях, входящих в Зеленоградский, Троицкий и </w:t>
            </w:r>
            <w:proofErr w:type="spellStart"/>
            <w:r>
              <w:t>Новомосковский</w:t>
            </w:r>
            <w:proofErr w:type="spellEnd"/>
            <w:r>
              <w:t xml:space="preserve"> административные округа города Москвы, а также в районах </w:t>
            </w:r>
            <w:proofErr w:type="spellStart"/>
            <w:r>
              <w:t>Молжаниновский</w:t>
            </w:r>
            <w:proofErr w:type="spellEnd"/>
            <w: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t>Некрасовка</w:t>
            </w:r>
            <w:proofErr w:type="spellEnd"/>
            <w: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28350</w:t>
            </w: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 xml:space="preserve">3) районах, входящих в Северный (за исключением района </w:t>
            </w:r>
            <w:proofErr w:type="spellStart"/>
            <w:r>
              <w:t>Молжаниновский</w:t>
            </w:r>
            <w:proofErr w:type="spellEnd"/>
            <w:r>
              <w:t xml:space="preserve">), Северо-Восточный (за исключением района Северный), Восточный (за </w:t>
            </w:r>
            <w:r>
              <w:lastRenderedPageBreak/>
              <w:t xml:space="preserve">исключением районов Восточный, Новокосино и Косино-Ухтомский), Юго-Восточный (за исключением района </w:t>
            </w:r>
            <w:proofErr w:type="spellStart"/>
            <w:r>
              <w:t>Некрасовка</w:t>
            </w:r>
            <w:proofErr w:type="spellEnd"/>
            <w: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40500</w:t>
            </w: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1.1.</w:t>
            </w: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Торговля через объекты нестационарной торговой сети (за исключением развозной и разносной розничной торговли), расположенные в:</w:t>
            </w:r>
          </w:p>
        </w:tc>
        <w:tc>
          <w:tcPr>
            <w:tcW w:w="2154"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Объект осуществления торговли</w:t>
            </w:r>
          </w:p>
        </w:tc>
        <w:tc>
          <w:tcPr>
            <w:tcW w:w="2119"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1) районах, входящих в Центральный административный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40500</w:t>
            </w: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 xml:space="preserve">2) районах и поселениях, входящих в Зеленоградский, Троицкий и </w:t>
            </w:r>
            <w:proofErr w:type="spellStart"/>
            <w:r>
              <w:t>Новомосковский</w:t>
            </w:r>
            <w:proofErr w:type="spellEnd"/>
            <w:r>
              <w:t xml:space="preserve"> административные округа города Москвы, а также в районах </w:t>
            </w:r>
            <w:proofErr w:type="spellStart"/>
            <w:r>
              <w:t>Молжаниновский</w:t>
            </w:r>
            <w:proofErr w:type="spellEnd"/>
            <w: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t>Некрасовка</w:t>
            </w:r>
            <w:proofErr w:type="spellEnd"/>
            <w: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28350</w:t>
            </w:r>
          </w:p>
        </w:tc>
      </w:tr>
      <w:tr w:rsidR="000C4FB3">
        <w:tc>
          <w:tcPr>
            <w:tcW w:w="652" w:type="dxa"/>
            <w:tcBorders>
              <w:top w:val="single" w:sz="4" w:space="0" w:color="auto"/>
              <w:left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right w:val="single" w:sz="4" w:space="0" w:color="auto"/>
            </w:tcBorders>
          </w:tcPr>
          <w:p w:rsidR="000C4FB3" w:rsidRDefault="00FE49C9">
            <w:pPr>
              <w:pStyle w:val="ConsPlusNormal"/>
            </w:pPr>
            <w:r>
              <w:t xml:space="preserve">3) районах, входящих в Северный (за исключением района </w:t>
            </w:r>
            <w:proofErr w:type="spellStart"/>
            <w:r>
              <w:t>Молжаниновский</w:t>
            </w:r>
            <w:proofErr w:type="spellEnd"/>
            <w: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w:t>
            </w:r>
            <w:r>
              <w:lastRenderedPageBreak/>
              <w:t xml:space="preserve">района </w:t>
            </w:r>
            <w:proofErr w:type="spellStart"/>
            <w:r>
              <w:t>Некрасовка</w:t>
            </w:r>
            <w:proofErr w:type="spellEnd"/>
            <w: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2154" w:type="dxa"/>
            <w:tcBorders>
              <w:top w:val="single" w:sz="4" w:space="0" w:color="auto"/>
              <w:left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right w:val="single" w:sz="4" w:space="0" w:color="auto"/>
            </w:tcBorders>
          </w:tcPr>
          <w:p w:rsidR="000C4FB3" w:rsidRDefault="00FE49C9">
            <w:pPr>
              <w:pStyle w:val="ConsPlusNormal"/>
            </w:pPr>
            <w:r>
              <w:t>40500</w:t>
            </w:r>
          </w:p>
        </w:tc>
      </w:tr>
      <w:tr w:rsidR="000C4FB3">
        <w:tc>
          <w:tcPr>
            <w:tcW w:w="10845" w:type="dxa"/>
            <w:gridSpan w:val="4"/>
            <w:tcBorders>
              <w:left w:val="single" w:sz="4" w:space="0" w:color="auto"/>
              <w:bottom w:val="single" w:sz="4" w:space="0" w:color="auto"/>
              <w:right w:val="single" w:sz="4" w:space="0" w:color="auto"/>
            </w:tcBorders>
          </w:tcPr>
          <w:p w:rsidR="000C4FB3" w:rsidRDefault="00FE49C9">
            <w:pPr>
              <w:pStyle w:val="ConsPlusNormal"/>
              <w:jc w:val="both"/>
            </w:pPr>
            <w:r>
              <w:t xml:space="preserve">(п. 1.1 введен </w:t>
            </w:r>
            <w:hyperlink r:id="rId6" w:history="1">
              <w:r>
                <w:rPr>
                  <w:color w:val="0000FF"/>
                </w:rPr>
                <w:t>Законом</w:t>
              </w:r>
            </w:hyperlink>
            <w:r>
              <w:t xml:space="preserve"> г. Москвы от 29.11.2017 N 45)</w:t>
            </w:r>
          </w:p>
        </w:tc>
      </w:tr>
      <w:tr w:rsidR="000C4FB3">
        <w:tc>
          <w:tcPr>
            <w:tcW w:w="652" w:type="dxa"/>
            <w:tcBorders>
              <w:top w:val="single" w:sz="4" w:space="0" w:color="auto"/>
              <w:left w:val="single" w:sz="4" w:space="0" w:color="auto"/>
              <w:right w:val="single" w:sz="4" w:space="0" w:color="auto"/>
            </w:tcBorders>
          </w:tcPr>
          <w:p w:rsidR="000C4FB3" w:rsidRDefault="00FE49C9">
            <w:pPr>
              <w:pStyle w:val="ConsPlusNormal"/>
            </w:pPr>
            <w:r>
              <w:t>2.</w:t>
            </w:r>
          </w:p>
        </w:tc>
        <w:tc>
          <w:tcPr>
            <w:tcW w:w="5920" w:type="dxa"/>
            <w:tcBorders>
              <w:top w:val="single" w:sz="4" w:space="0" w:color="auto"/>
              <w:left w:val="single" w:sz="4" w:space="0" w:color="auto"/>
              <w:right w:val="single" w:sz="4" w:space="0" w:color="auto"/>
            </w:tcBorders>
          </w:tcPr>
          <w:p w:rsidR="000C4FB3" w:rsidRDefault="00FE49C9">
            <w:pPr>
              <w:pStyle w:val="ConsPlusNormal"/>
            </w:pPr>
            <w:r>
              <w:t>Развозная розничная торговля</w:t>
            </w:r>
          </w:p>
        </w:tc>
        <w:tc>
          <w:tcPr>
            <w:tcW w:w="2154" w:type="dxa"/>
            <w:tcBorders>
              <w:top w:val="single" w:sz="4" w:space="0" w:color="auto"/>
              <w:left w:val="single" w:sz="4" w:space="0" w:color="auto"/>
              <w:right w:val="single" w:sz="4" w:space="0" w:color="auto"/>
            </w:tcBorders>
          </w:tcPr>
          <w:p w:rsidR="000C4FB3" w:rsidRDefault="00FE49C9">
            <w:pPr>
              <w:pStyle w:val="ConsPlusNormal"/>
            </w:pPr>
            <w:r>
              <w:t>Объект осуществления торговли</w:t>
            </w:r>
          </w:p>
        </w:tc>
        <w:tc>
          <w:tcPr>
            <w:tcW w:w="2119" w:type="dxa"/>
            <w:tcBorders>
              <w:top w:val="single" w:sz="4" w:space="0" w:color="auto"/>
              <w:left w:val="single" w:sz="4" w:space="0" w:color="auto"/>
              <w:right w:val="single" w:sz="4" w:space="0" w:color="auto"/>
            </w:tcBorders>
          </w:tcPr>
          <w:p w:rsidR="000C4FB3" w:rsidRDefault="00FE49C9">
            <w:pPr>
              <w:pStyle w:val="ConsPlusNormal"/>
            </w:pPr>
            <w:r>
              <w:t>40500</w:t>
            </w:r>
          </w:p>
        </w:tc>
      </w:tr>
      <w:tr w:rsidR="000C4FB3">
        <w:tc>
          <w:tcPr>
            <w:tcW w:w="10845" w:type="dxa"/>
            <w:gridSpan w:val="4"/>
            <w:tcBorders>
              <w:left w:val="single" w:sz="4" w:space="0" w:color="auto"/>
              <w:bottom w:val="single" w:sz="4" w:space="0" w:color="auto"/>
              <w:right w:val="single" w:sz="4" w:space="0" w:color="auto"/>
            </w:tcBorders>
          </w:tcPr>
          <w:p w:rsidR="000C4FB3" w:rsidRDefault="00FE49C9">
            <w:pPr>
              <w:pStyle w:val="ConsPlusNormal"/>
              <w:jc w:val="both"/>
            </w:pPr>
            <w:r>
              <w:t xml:space="preserve">(в ред. </w:t>
            </w:r>
            <w:hyperlink r:id="rId7" w:history="1">
              <w:r>
                <w:rPr>
                  <w:color w:val="0000FF"/>
                </w:rPr>
                <w:t>Закона</w:t>
              </w:r>
            </w:hyperlink>
            <w:r>
              <w:t xml:space="preserve"> г. Москвы от 11.11.2020 N 21)</w:t>
            </w:r>
          </w:p>
        </w:tc>
      </w:tr>
      <w:tr w:rsidR="000C4FB3">
        <w:tc>
          <w:tcPr>
            <w:tcW w:w="652" w:type="dxa"/>
            <w:tcBorders>
              <w:top w:val="single" w:sz="4" w:space="0" w:color="auto"/>
              <w:left w:val="single" w:sz="4" w:space="0" w:color="auto"/>
              <w:right w:val="single" w:sz="4" w:space="0" w:color="auto"/>
            </w:tcBorders>
          </w:tcPr>
          <w:p w:rsidR="000C4FB3" w:rsidRDefault="00FE49C9">
            <w:pPr>
              <w:pStyle w:val="ConsPlusNormal"/>
            </w:pPr>
            <w:r>
              <w:t>2.1.</w:t>
            </w:r>
          </w:p>
        </w:tc>
        <w:tc>
          <w:tcPr>
            <w:tcW w:w="5920" w:type="dxa"/>
            <w:tcBorders>
              <w:top w:val="single" w:sz="4" w:space="0" w:color="auto"/>
              <w:left w:val="single" w:sz="4" w:space="0" w:color="auto"/>
              <w:right w:val="single" w:sz="4" w:space="0" w:color="auto"/>
            </w:tcBorders>
          </w:tcPr>
          <w:p w:rsidR="000C4FB3" w:rsidRDefault="00FE49C9">
            <w:pPr>
              <w:pStyle w:val="ConsPlusNormal"/>
            </w:pPr>
            <w:r>
              <w:t>Розничная торговля, осуществляемая с использованием торговых (</w:t>
            </w:r>
            <w:proofErr w:type="spellStart"/>
            <w:r>
              <w:t>вендинговых</w:t>
            </w:r>
            <w:proofErr w:type="spellEnd"/>
            <w:r>
              <w:t>) автоматов</w:t>
            </w:r>
          </w:p>
        </w:tc>
        <w:tc>
          <w:tcPr>
            <w:tcW w:w="2154" w:type="dxa"/>
            <w:tcBorders>
              <w:top w:val="single" w:sz="4" w:space="0" w:color="auto"/>
              <w:left w:val="single" w:sz="4" w:space="0" w:color="auto"/>
              <w:right w:val="single" w:sz="4" w:space="0" w:color="auto"/>
            </w:tcBorders>
          </w:tcPr>
          <w:p w:rsidR="000C4FB3" w:rsidRDefault="00FE49C9">
            <w:pPr>
              <w:pStyle w:val="ConsPlusNormal"/>
            </w:pPr>
            <w:r>
              <w:t>Объект осуществления торговли</w:t>
            </w:r>
          </w:p>
        </w:tc>
        <w:tc>
          <w:tcPr>
            <w:tcW w:w="2119" w:type="dxa"/>
            <w:tcBorders>
              <w:top w:val="single" w:sz="4" w:space="0" w:color="auto"/>
              <w:left w:val="single" w:sz="4" w:space="0" w:color="auto"/>
              <w:right w:val="single" w:sz="4" w:space="0" w:color="auto"/>
            </w:tcBorders>
          </w:tcPr>
          <w:p w:rsidR="000C4FB3" w:rsidRDefault="00FE49C9">
            <w:pPr>
              <w:pStyle w:val="ConsPlusNormal"/>
            </w:pPr>
            <w:r>
              <w:t>4900</w:t>
            </w:r>
          </w:p>
        </w:tc>
      </w:tr>
      <w:tr w:rsidR="000C4FB3">
        <w:tc>
          <w:tcPr>
            <w:tcW w:w="10845" w:type="dxa"/>
            <w:gridSpan w:val="4"/>
            <w:tcBorders>
              <w:left w:val="single" w:sz="4" w:space="0" w:color="auto"/>
              <w:bottom w:val="single" w:sz="4" w:space="0" w:color="auto"/>
              <w:right w:val="single" w:sz="4" w:space="0" w:color="auto"/>
            </w:tcBorders>
          </w:tcPr>
          <w:p w:rsidR="000C4FB3" w:rsidRDefault="00FE49C9">
            <w:pPr>
              <w:pStyle w:val="ConsPlusNormal"/>
              <w:jc w:val="both"/>
            </w:pPr>
            <w:r>
              <w:t xml:space="preserve">(п. 2.1 введен </w:t>
            </w:r>
            <w:hyperlink r:id="rId8" w:history="1">
              <w:r>
                <w:rPr>
                  <w:color w:val="0000FF"/>
                </w:rPr>
                <w:t>Законом</w:t>
              </w:r>
            </w:hyperlink>
            <w:r>
              <w:t xml:space="preserve"> г. Москвы от 11.11.2020 N 21)</w:t>
            </w: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3.</w:t>
            </w: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Торговля через объекты стационарной торговой сети с торговыми залами:</w:t>
            </w:r>
          </w:p>
        </w:tc>
        <w:tc>
          <w:tcPr>
            <w:tcW w:w="2154"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1) до 50 кв. метров (включительно), расположенные в:</w:t>
            </w:r>
          </w:p>
        </w:tc>
        <w:tc>
          <w:tcPr>
            <w:tcW w:w="2154"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Объект осуществления торговли</w:t>
            </w:r>
          </w:p>
        </w:tc>
        <w:tc>
          <w:tcPr>
            <w:tcW w:w="2119"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а) районах, входящих в Центральный административный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54000</w:t>
            </w: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 xml:space="preserve">б) районах и поселениях, входящих в Зеленоградский, Троицкий и </w:t>
            </w:r>
            <w:proofErr w:type="spellStart"/>
            <w:r>
              <w:t>Новомосковский</w:t>
            </w:r>
            <w:proofErr w:type="spellEnd"/>
            <w:r>
              <w:t xml:space="preserve"> административные округа города Москвы, а также в районах </w:t>
            </w:r>
            <w:proofErr w:type="spellStart"/>
            <w:r>
              <w:t>Молжаниновский</w:t>
            </w:r>
            <w:proofErr w:type="spellEnd"/>
            <w: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w:t>
            </w:r>
            <w:r>
              <w:lastRenderedPageBreak/>
              <w:t xml:space="preserve">округа города Москвы, </w:t>
            </w:r>
            <w:proofErr w:type="spellStart"/>
            <w:r>
              <w:t>Некрасовка</w:t>
            </w:r>
            <w:proofErr w:type="spellEnd"/>
            <w: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18900</w:t>
            </w: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 xml:space="preserve">в) районах, входящих в Северный (за исключением района </w:t>
            </w:r>
            <w:proofErr w:type="spellStart"/>
            <w:r>
              <w:t>Молжаниновский</w:t>
            </w:r>
            <w:proofErr w:type="spellEnd"/>
            <w: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t>Некрасовка</w:t>
            </w:r>
            <w:proofErr w:type="spellEnd"/>
            <w: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27000</w:t>
            </w: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2) свыше 50 кв. метров до 150 кв. метров (включительно), расположенные в:</w:t>
            </w:r>
          </w:p>
        </w:tc>
        <w:tc>
          <w:tcPr>
            <w:tcW w:w="2154"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1 кв. метр площади торгового зала</w:t>
            </w:r>
          </w:p>
        </w:tc>
        <w:tc>
          <w:tcPr>
            <w:tcW w:w="2119"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а) районах, входящих в Центральный административный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 xml:space="preserve">1080 рублей за каждый кв. метр площади торгового зала, не превышающей 50 кв. метров, и 60 рублей за каждый полный (неполный) кв. метр площади торгового зала свыше 50 кв. </w:t>
            </w:r>
            <w:r>
              <w:lastRenderedPageBreak/>
              <w:t>метров</w:t>
            </w: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 xml:space="preserve">б) районах и поселениях, входящих в Зеленоградский, Троицкий и </w:t>
            </w:r>
            <w:proofErr w:type="spellStart"/>
            <w:r>
              <w:t>Новомосковский</w:t>
            </w:r>
            <w:proofErr w:type="spellEnd"/>
            <w:r>
              <w:t xml:space="preserve"> административные округа города Москвы, а также в районах </w:t>
            </w:r>
            <w:proofErr w:type="spellStart"/>
            <w:r>
              <w:t>Молжаниновский</w:t>
            </w:r>
            <w:proofErr w:type="spellEnd"/>
            <w: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t>Некрасовка</w:t>
            </w:r>
            <w:proofErr w:type="spellEnd"/>
            <w: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378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 xml:space="preserve">в) районах, входящих в Северный (за исключением района </w:t>
            </w:r>
            <w:proofErr w:type="spellStart"/>
            <w:r>
              <w:t>Молжаниновский</w:t>
            </w:r>
            <w:proofErr w:type="spellEnd"/>
            <w: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t>Некрасовка</w:t>
            </w:r>
            <w:proofErr w:type="spellEnd"/>
            <w: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540 рублей за каждый кв. метр площади торгового зала, не превышающей 50 кв. метров, и 55 рублей за каждый полный (неполный) кв. метр площади торгового зала свыше 50 кв. метров</w:t>
            </w: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3) свыше 150 кв. метров до 300 кв. метров (включительно), расположенные в:</w:t>
            </w:r>
          </w:p>
        </w:tc>
        <w:tc>
          <w:tcPr>
            <w:tcW w:w="2154"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1 кв. метр площади торгового зала</w:t>
            </w:r>
          </w:p>
        </w:tc>
        <w:tc>
          <w:tcPr>
            <w:tcW w:w="2119"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а) районах, входящих в Центральный административный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 xml:space="preserve">1080 рублей за каждый кв. метр </w:t>
            </w:r>
            <w:r>
              <w:lastRenderedPageBreak/>
              <w:t>площади торгового зала, не превышающей 50 кв. метров, 60 рублей за каждый кв. метр площади торгового зала свыше 50 кв. метров до 150 кв. метров (включительно) и 70 рублей за каждый полный (неполный) кв. метр площади торгового зала свыше 150 кв. метров</w:t>
            </w: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 xml:space="preserve">б) районах и поселениях, входящих в Зеленоградский, Троицкий и </w:t>
            </w:r>
            <w:proofErr w:type="spellStart"/>
            <w:r>
              <w:t>Новомосковский</w:t>
            </w:r>
            <w:proofErr w:type="spellEnd"/>
            <w:r>
              <w:t xml:space="preserve"> административные округа города Москвы, а также в районах </w:t>
            </w:r>
            <w:proofErr w:type="spellStart"/>
            <w:r>
              <w:t>Молжаниновский</w:t>
            </w:r>
            <w:proofErr w:type="spellEnd"/>
            <w: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t>Некрасовка</w:t>
            </w:r>
            <w:proofErr w:type="spellEnd"/>
            <w: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 xml:space="preserve">378 рублей за каждый кв. метр площади торгового зала, не превышающей 50 кв. метров, 50 рублей за каждый кв. метр площади торгового зала свыше 50 кв. метров до 150 кв. метров (включительно) и 60 рублей за каждый полный (неполный) кв. метр площади </w:t>
            </w:r>
            <w:r>
              <w:lastRenderedPageBreak/>
              <w:t>торгового зала свыше 150 кв. метров</w:t>
            </w: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 xml:space="preserve">в) районах, входящих в Северный (за исключением района </w:t>
            </w:r>
            <w:proofErr w:type="spellStart"/>
            <w:r>
              <w:t>Молжаниновский</w:t>
            </w:r>
            <w:proofErr w:type="spellEnd"/>
            <w: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t>Некрасовка</w:t>
            </w:r>
            <w:proofErr w:type="spellEnd"/>
            <w: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540 рублей за каждый кв. метр площади торгового зала, не превышающей 50 кв. метров, 55 рублей за каждый кв. метр площади торгового зала свыше 50 кв. метров до 150 кв. метров (включительно) и 65 рублей за каждый полный (неполный) кв. метр площади торгового зала свыше 150 кв. метров</w:t>
            </w: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4) свыше 300 кв. метров, расположенные в:</w:t>
            </w:r>
          </w:p>
        </w:tc>
        <w:tc>
          <w:tcPr>
            <w:tcW w:w="2154"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1 кв. метр площади торгового зала</w:t>
            </w:r>
          </w:p>
        </w:tc>
        <w:tc>
          <w:tcPr>
            <w:tcW w:w="2119"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а) районах, входящих в Центральный административный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 xml:space="preserve">1080 рублей за каждый кв. метр площади торгового зала, не превышающей 50 кв. метров, 60 рублей за каждый кв. метр площади </w:t>
            </w:r>
            <w:r>
              <w:lastRenderedPageBreak/>
              <w:t>торгового зала свыше 50 кв. метров до 150 кв. метров (включительно), 70 рублей за каждый кв. метр площади торгового зала свыше 150 кв. метров до 300 кв. метров (включительно) и 75 рублей за каждый полный (неполный) кв. метр площади торгового зала свыше 300 кв. метров</w:t>
            </w: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 xml:space="preserve">б) районах и поселениях, входящих в Зеленоградский, Троицкий и </w:t>
            </w:r>
            <w:proofErr w:type="spellStart"/>
            <w:r>
              <w:t>Новомосковский</w:t>
            </w:r>
            <w:proofErr w:type="spellEnd"/>
            <w:r>
              <w:t xml:space="preserve"> административные округа города Москвы, а также в районах </w:t>
            </w:r>
            <w:proofErr w:type="spellStart"/>
            <w:r>
              <w:t>Молжаниновский</w:t>
            </w:r>
            <w:proofErr w:type="spellEnd"/>
            <w: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t>Некрасовка</w:t>
            </w:r>
            <w:proofErr w:type="spellEnd"/>
            <w: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 xml:space="preserve">378 рублей за каждый кв. метр площади торгового зала, не превышающей 50 кв. метров, 50 рублей за каждый кв. метр площади торгового зала свыше 50 кв. метров до 150 кв. метров (включительно), 60 рублей за каждый кв. метр площади торгового зала </w:t>
            </w:r>
            <w:r>
              <w:lastRenderedPageBreak/>
              <w:t>свыше 150 кв. метров до 300 кв. метров (включительно) и 75 рублей за каждый полный (неполный) кв. метр площади торгового зала свыше 300 кв. метров</w:t>
            </w:r>
          </w:p>
        </w:tc>
      </w:tr>
      <w:tr w:rsidR="000C4FB3">
        <w:tc>
          <w:tcPr>
            <w:tcW w:w="652" w:type="dxa"/>
            <w:tcBorders>
              <w:top w:val="single" w:sz="4" w:space="0" w:color="auto"/>
              <w:left w:val="single" w:sz="4" w:space="0" w:color="auto"/>
              <w:right w:val="single" w:sz="4" w:space="0" w:color="auto"/>
            </w:tcBorders>
          </w:tcPr>
          <w:p w:rsidR="000C4FB3" w:rsidRDefault="000C4FB3">
            <w:pPr>
              <w:pStyle w:val="ConsPlusNormal"/>
            </w:pPr>
          </w:p>
        </w:tc>
        <w:tc>
          <w:tcPr>
            <w:tcW w:w="5920" w:type="dxa"/>
            <w:tcBorders>
              <w:top w:val="single" w:sz="4" w:space="0" w:color="auto"/>
              <w:left w:val="single" w:sz="4" w:space="0" w:color="auto"/>
              <w:right w:val="single" w:sz="4" w:space="0" w:color="auto"/>
            </w:tcBorders>
          </w:tcPr>
          <w:p w:rsidR="000C4FB3" w:rsidRDefault="00FE49C9">
            <w:pPr>
              <w:pStyle w:val="ConsPlusNormal"/>
            </w:pPr>
            <w:r>
              <w:t xml:space="preserve">в) районах, входящих в Северный (за исключением района </w:t>
            </w:r>
            <w:proofErr w:type="spellStart"/>
            <w:r>
              <w:t>Молжаниновский</w:t>
            </w:r>
            <w:proofErr w:type="spellEnd"/>
            <w: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t>Некрасовка</w:t>
            </w:r>
            <w:proofErr w:type="spellEnd"/>
            <w: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2154" w:type="dxa"/>
            <w:tcBorders>
              <w:top w:val="single" w:sz="4" w:space="0" w:color="auto"/>
              <w:left w:val="single" w:sz="4" w:space="0" w:color="auto"/>
              <w:right w:val="single" w:sz="4" w:space="0" w:color="auto"/>
            </w:tcBorders>
          </w:tcPr>
          <w:p w:rsidR="000C4FB3" w:rsidRDefault="000C4FB3">
            <w:pPr>
              <w:pStyle w:val="ConsPlusNormal"/>
            </w:pPr>
          </w:p>
        </w:tc>
        <w:tc>
          <w:tcPr>
            <w:tcW w:w="2119" w:type="dxa"/>
            <w:tcBorders>
              <w:top w:val="single" w:sz="4" w:space="0" w:color="auto"/>
              <w:left w:val="single" w:sz="4" w:space="0" w:color="auto"/>
              <w:right w:val="single" w:sz="4" w:space="0" w:color="auto"/>
            </w:tcBorders>
          </w:tcPr>
          <w:p w:rsidR="000C4FB3" w:rsidRDefault="00FE49C9">
            <w:pPr>
              <w:pStyle w:val="ConsPlusNormal"/>
            </w:pPr>
            <w:r>
              <w:t xml:space="preserve">540 рублей за каждый кв. метр площади торгового зала, не превышающей 50 кв. метров, 55 рублей за каждый кв. метр площади торгового зала свыше 50 кв. метров до 150 кв. метров (включительно), 65 рублей за каждый кв. метр площади торгового зала свыше 150 кв. метров до 300 кв. метров (включительно) и 75 рублей за каждый полный (неполный) кв. метр площади </w:t>
            </w:r>
            <w:r>
              <w:lastRenderedPageBreak/>
              <w:t>торгового зала свыше 300 кв. метров</w:t>
            </w:r>
          </w:p>
        </w:tc>
      </w:tr>
      <w:tr w:rsidR="000C4FB3">
        <w:tc>
          <w:tcPr>
            <w:tcW w:w="10845" w:type="dxa"/>
            <w:gridSpan w:val="4"/>
            <w:tcBorders>
              <w:left w:val="single" w:sz="4" w:space="0" w:color="auto"/>
              <w:bottom w:val="single" w:sz="4" w:space="0" w:color="auto"/>
              <w:right w:val="single" w:sz="4" w:space="0" w:color="auto"/>
            </w:tcBorders>
          </w:tcPr>
          <w:p w:rsidR="000C4FB3" w:rsidRDefault="00FE49C9">
            <w:pPr>
              <w:pStyle w:val="ConsPlusNormal"/>
              <w:jc w:val="both"/>
            </w:pPr>
            <w:r>
              <w:lastRenderedPageBreak/>
              <w:t xml:space="preserve">(п. 3 в ред. </w:t>
            </w:r>
            <w:hyperlink r:id="rId9" w:history="1">
              <w:r>
                <w:rPr>
                  <w:color w:val="0000FF"/>
                </w:rPr>
                <w:t>Закона</w:t>
              </w:r>
            </w:hyperlink>
            <w:r>
              <w:t xml:space="preserve"> г. Москвы от 26.12.2018 N 36)</w:t>
            </w:r>
          </w:p>
        </w:tc>
      </w:tr>
      <w:tr w:rsidR="000C4FB3">
        <w:tc>
          <w:tcPr>
            <w:tcW w:w="652"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4.</w:t>
            </w:r>
          </w:p>
        </w:tc>
        <w:tc>
          <w:tcPr>
            <w:tcW w:w="5920"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Организация розничных рынков</w:t>
            </w:r>
          </w:p>
        </w:tc>
        <w:tc>
          <w:tcPr>
            <w:tcW w:w="2154"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1 кв. метр площади розничного рынка</w:t>
            </w:r>
          </w:p>
        </w:tc>
        <w:tc>
          <w:tcPr>
            <w:tcW w:w="2119" w:type="dxa"/>
            <w:tcBorders>
              <w:top w:val="single" w:sz="4" w:space="0" w:color="auto"/>
              <w:left w:val="single" w:sz="4" w:space="0" w:color="auto"/>
              <w:bottom w:val="single" w:sz="4" w:space="0" w:color="auto"/>
              <w:right w:val="single" w:sz="4" w:space="0" w:color="auto"/>
            </w:tcBorders>
          </w:tcPr>
          <w:p w:rsidR="000C4FB3" w:rsidRDefault="00FE49C9">
            <w:pPr>
              <w:pStyle w:val="ConsPlusNormal"/>
            </w:pPr>
            <w:r>
              <w:t>50</w:t>
            </w:r>
          </w:p>
        </w:tc>
      </w:tr>
    </w:tbl>
    <w:p w:rsidR="000C4FB3" w:rsidRDefault="000C4FB3">
      <w:pPr>
        <w:pStyle w:val="ConsPlusNormal"/>
        <w:jc w:val="both"/>
      </w:pPr>
    </w:p>
    <w:p w:rsidR="00FE49C9" w:rsidRDefault="00AC66FE">
      <w:pPr>
        <w:pStyle w:val="ConsPlusNormal"/>
      </w:pPr>
      <w:hyperlink r:id="rId10" w:history="1">
        <w:r w:rsidR="00FE49C9">
          <w:rPr>
            <w:i/>
            <w:iCs/>
            <w:color w:val="0000FF"/>
          </w:rPr>
          <w:br/>
          <w:t>ст. 2, Закон г. Москвы от 17.12.2014 N 62 (ред. от 11.11.2020) "О торговом сборе" {</w:t>
        </w:r>
        <w:proofErr w:type="spellStart"/>
        <w:r w:rsidR="00FE49C9">
          <w:rPr>
            <w:i/>
            <w:iCs/>
            <w:color w:val="0000FF"/>
          </w:rPr>
          <w:t>КонсультантПлюс</w:t>
        </w:r>
        <w:proofErr w:type="spellEnd"/>
        <w:r w:rsidR="00FE49C9">
          <w:rPr>
            <w:i/>
            <w:iCs/>
            <w:color w:val="0000FF"/>
          </w:rPr>
          <w:t>}</w:t>
        </w:r>
      </w:hyperlink>
      <w:r w:rsidR="00FE49C9">
        <w:br/>
      </w:r>
    </w:p>
    <w:sectPr w:rsidR="00FE49C9">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DB"/>
    <w:rsid w:val="000C4FB3"/>
    <w:rsid w:val="00383EDB"/>
    <w:rsid w:val="00AC66FE"/>
    <w:rsid w:val="00FE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538631-1235-4993-8829-0E3CA121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MNV&amp;n=207892&amp;date=20.01.2021&amp;dst=100034&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MNV&amp;n=207892&amp;date=20.01.2021&amp;dst=100033&amp;fld=1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MNV&amp;n=181906&amp;date=20.01.2021&amp;dst=100037&amp;fld=134" TargetMode="External"/><Relationship Id="rId11" Type="http://schemas.openxmlformats.org/officeDocument/2006/relationships/fontTable" Target="fontTable.xml"/><Relationship Id="rId5" Type="http://schemas.openxmlformats.org/officeDocument/2006/relationships/hyperlink" Target="https://login.consultant.ru/link/?req=doc&amp;base=MNV&amp;n=181906&amp;date=20.01.2021&amp;dst=100036&amp;fld=134" TargetMode="External"/><Relationship Id="rId10" Type="http://schemas.openxmlformats.org/officeDocument/2006/relationships/hyperlink" Target="https://login.consultant.ru/link/?req=doc&amp;base=MNV&amp;n=207956&amp;date=20.01.2021&amp;dst=100008&amp;fld=134" TargetMode="External"/><Relationship Id="rId4" Type="http://schemas.openxmlformats.org/officeDocument/2006/relationships/hyperlink" Target="https://login.consultant.ru/link/?req=doc&amp;base=RZR&amp;n=368636&amp;date=20.01.2021&amp;dst=11429&amp;fld=134" TargetMode="External"/><Relationship Id="rId9" Type="http://schemas.openxmlformats.org/officeDocument/2006/relationships/hyperlink" Target="https://login.consultant.ru/link/?req=doc&amp;base=MNV&amp;n=190175&amp;date=20.01.2021&amp;dst=10000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1871</Words>
  <Characters>10668</Characters>
  <Application>Microsoft Office Word</Application>
  <DocSecurity>2</DocSecurity>
  <Lines>88</Lines>
  <Paragraphs>25</Paragraphs>
  <ScaleCrop>false</ScaleCrop>
  <HeadingPairs>
    <vt:vector size="2" baseType="variant">
      <vt:variant>
        <vt:lpstr>Название</vt:lpstr>
      </vt:variant>
      <vt:variant>
        <vt:i4>1</vt:i4>
      </vt:variant>
    </vt:vector>
  </HeadingPairs>
  <TitlesOfParts>
    <vt:vector size="1" baseType="lpstr">
      <vt:lpstr>Закон г. Москвы от 17.12.2014 N 62(ред. от 11.11.2020)"О торговом сборе"</vt:lpstr>
    </vt:vector>
  </TitlesOfParts>
  <Company>КонсультантПлюс Версия 4018.00.50</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 Москвы от 17.12.2014 N 62(ред. от 11.11.2020)"О торговом сборе"</dc:title>
  <dc:subject/>
  <dc:creator>RePack by Diakov</dc:creator>
  <cp:keywords/>
  <dc:description/>
  <cp:lastModifiedBy>RePack by Diakov</cp:lastModifiedBy>
  <cp:revision>2</cp:revision>
  <dcterms:created xsi:type="dcterms:W3CDTF">2022-01-25T13:53:00Z</dcterms:created>
  <dcterms:modified xsi:type="dcterms:W3CDTF">2022-01-25T13:53:00Z</dcterms:modified>
</cp:coreProperties>
</file>