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E49C9">
      <w:pPr>
        <w:pStyle w:val="ConsPlusTitle"/>
        <w:ind w:firstLine="540"/>
        <w:jc w:val="both"/>
        <w:outlineLvl w:val="0"/>
      </w:pPr>
      <w:r>
        <w:t>Статья 2. Ставки торгового сбора</w:t>
      </w:r>
      <w:bookmarkStart w:id="0" w:name="_GoBack"/>
      <w:bookmarkEnd w:id="0"/>
    </w:p>
    <w:p w:rsidR="00000000" w:rsidRDefault="00FE49C9">
      <w:pPr>
        <w:pStyle w:val="ConsPlusNormal"/>
        <w:jc w:val="both"/>
      </w:pPr>
    </w:p>
    <w:p w:rsidR="00000000" w:rsidRDefault="00FE49C9">
      <w:pPr>
        <w:pStyle w:val="ConsPlusNormal"/>
        <w:ind w:firstLine="540"/>
        <w:jc w:val="both"/>
      </w:pPr>
      <w:r>
        <w:t xml:space="preserve">Установить </w:t>
      </w:r>
      <w:hyperlink r:id="rId4" w:history="1">
        <w:r>
          <w:rPr>
            <w:color w:val="0000FF"/>
          </w:rPr>
          <w:t>ставки</w:t>
        </w:r>
      </w:hyperlink>
      <w:r>
        <w:t xml:space="preserve"> торгового сбора в следующих размерах:</w:t>
      </w:r>
    </w:p>
    <w:p w:rsidR="00000000" w:rsidRDefault="00FE49C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52"/>
        <w:gridCol w:w="5920"/>
        <w:gridCol w:w="2154"/>
        <w:gridCol w:w="2119"/>
      </w:tblGrid>
      <w:tr w:rsidR="00000000">
        <w:tc>
          <w:tcPr>
            <w:tcW w:w="652" w:type="dxa"/>
            <w:tcBorders>
              <w:top w:val="single" w:sz="4" w:space="0" w:color="auto"/>
              <w:left w:val="single" w:sz="4" w:space="0" w:color="auto"/>
              <w:bottom w:val="single" w:sz="4" w:space="0" w:color="auto"/>
              <w:right w:val="single" w:sz="4" w:space="0" w:color="auto"/>
            </w:tcBorders>
          </w:tcPr>
          <w:p w:rsidR="00000000" w:rsidRDefault="00FE49C9">
            <w:pPr>
              <w:pStyle w:val="ConsPlusNormal"/>
              <w:jc w:val="center"/>
            </w:pPr>
            <w:r>
              <w:t>N п/п</w:t>
            </w:r>
          </w:p>
        </w:tc>
        <w:tc>
          <w:tcPr>
            <w:tcW w:w="5920" w:type="dxa"/>
            <w:tcBorders>
              <w:top w:val="single" w:sz="4" w:space="0" w:color="auto"/>
              <w:left w:val="single" w:sz="4" w:space="0" w:color="auto"/>
              <w:bottom w:val="single" w:sz="4" w:space="0" w:color="auto"/>
              <w:right w:val="single" w:sz="4" w:space="0" w:color="auto"/>
            </w:tcBorders>
          </w:tcPr>
          <w:p w:rsidR="00000000" w:rsidRDefault="00FE49C9">
            <w:pPr>
              <w:pStyle w:val="ConsPlusNormal"/>
              <w:jc w:val="center"/>
            </w:pPr>
            <w:r>
              <w:t>Вид торговой деятельности</w:t>
            </w:r>
          </w:p>
        </w:tc>
        <w:tc>
          <w:tcPr>
            <w:tcW w:w="2154" w:type="dxa"/>
            <w:tcBorders>
              <w:top w:val="single" w:sz="4" w:space="0" w:color="auto"/>
              <w:left w:val="single" w:sz="4" w:space="0" w:color="auto"/>
              <w:bottom w:val="single" w:sz="4" w:space="0" w:color="auto"/>
              <w:right w:val="single" w:sz="4" w:space="0" w:color="auto"/>
            </w:tcBorders>
          </w:tcPr>
          <w:p w:rsidR="00000000" w:rsidRDefault="00FE49C9">
            <w:pPr>
              <w:pStyle w:val="ConsPlusNormal"/>
              <w:jc w:val="center"/>
            </w:pPr>
            <w:r>
              <w:t>Физический показатель</w:t>
            </w:r>
          </w:p>
        </w:tc>
        <w:tc>
          <w:tcPr>
            <w:tcW w:w="2119" w:type="dxa"/>
            <w:tcBorders>
              <w:top w:val="single" w:sz="4" w:space="0" w:color="auto"/>
              <w:left w:val="single" w:sz="4" w:space="0" w:color="auto"/>
              <w:bottom w:val="single" w:sz="4" w:space="0" w:color="auto"/>
              <w:right w:val="single" w:sz="4" w:space="0" w:color="auto"/>
            </w:tcBorders>
          </w:tcPr>
          <w:p w:rsidR="00000000" w:rsidRDefault="00FE49C9">
            <w:pPr>
              <w:pStyle w:val="ConsPlusNormal"/>
              <w:jc w:val="center"/>
            </w:pPr>
            <w:r>
              <w:t>Ставка торгового сбора (рублей за квартал)</w:t>
            </w:r>
          </w:p>
        </w:tc>
      </w:tr>
      <w:tr w:rsidR="00000000">
        <w:tc>
          <w:tcPr>
            <w:tcW w:w="652" w:type="dxa"/>
            <w:tcBorders>
              <w:top w:val="single" w:sz="4" w:space="0" w:color="auto"/>
              <w:left w:val="single" w:sz="4" w:space="0" w:color="auto"/>
              <w:right w:val="single" w:sz="4" w:space="0" w:color="auto"/>
            </w:tcBorders>
          </w:tcPr>
          <w:p w:rsidR="00000000" w:rsidRDefault="00FE49C9">
            <w:pPr>
              <w:pStyle w:val="ConsPlusNormal"/>
            </w:pPr>
            <w:r>
              <w:t>1.</w:t>
            </w:r>
          </w:p>
        </w:tc>
        <w:tc>
          <w:tcPr>
            <w:tcW w:w="5920" w:type="dxa"/>
            <w:tcBorders>
              <w:top w:val="single" w:sz="4" w:space="0" w:color="auto"/>
              <w:left w:val="single" w:sz="4" w:space="0" w:color="auto"/>
              <w:right w:val="single" w:sz="4" w:space="0" w:color="auto"/>
            </w:tcBorders>
          </w:tcPr>
          <w:p w:rsidR="00000000" w:rsidRDefault="00FE49C9">
            <w:pPr>
              <w:pStyle w:val="ConsPlusNormal"/>
            </w:pPr>
            <w:r>
              <w:t>Торговля через объекты стационарной торговой сети, не имеющие торговых залов (за исключением объектов стац</w:t>
            </w:r>
            <w:r>
              <w:t>ионарной торговой сети, не имеющих торговых залов, являющихся автозаправочными станциями), в:</w:t>
            </w:r>
          </w:p>
        </w:tc>
        <w:tc>
          <w:tcPr>
            <w:tcW w:w="2154" w:type="dxa"/>
            <w:tcBorders>
              <w:top w:val="single" w:sz="4" w:space="0" w:color="auto"/>
              <w:left w:val="single" w:sz="4" w:space="0" w:color="auto"/>
              <w:right w:val="single" w:sz="4" w:space="0" w:color="auto"/>
            </w:tcBorders>
          </w:tcPr>
          <w:p w:rsidR="00000000" w:rsidRDefault="00FE49C9">
            <w:pPr>
              <w:pStyle w:val="ConsPlusNormal"/>
            </w:pPr>
            <w:r>
              <w:t>Объект осуществления торговли</w:t>
            </w:r>
          </w:p>
        </w:tc>
        <w:tc>
          <w:tcPr>
            <w:tcW w:w="2119" w:type="dxa"/>
            <w:tcBorders>
              <w:top w:val="single" w:sz="4" w:space="0" w:color="auto"/>
              <w:left w:val="single" w:sz="4" w:space="0" w:color="auto"/>
              <w:right w:val="single" w:sz="4" w:space="0" w:color="auto"/>
            </w:tcBorders>
          </w:tcPr>
          <w:p w:rsidR="00000000" w:rsidRDefault="00FE49C9">
            <w:pPr>
              <w:pStyle w:val="ConsPlusNormal"/>
            </w:pPr>
          </w:p>
        </w:tc>
      </w:tr>
      <w:tr w:rsidR="00000000">
        <w:tc>
          <w:tcPr>
            <w:tcW w:w="10845" w:type="dxa"/>
            <w:gridSpan w:val="4"/>
            <w:tcBorders>
              <w:left w:val="single" w:sz="4" w:space="0" w:color="auto"/>
              <w:bottom w:val="single" w:sz="4" w:space="0" w:color="auto"/>
              <w:right w:val="single" w:sz="4" w:space="0" w:color="auto"/>
            </w:tcBorders>
          </w:tcPr>
          <w:p w:rsidR="00000000" w:rsidRDefault="00FE49C9">
            <w:pPr>
              <w:pStyle w:val="ConsPlusNormal"/>
              <w:jc w:val="both"/>
            </w:pPr>
            <w:r>
              <w:t xml:space="preserve">(в ред. </w:t>
            </w:r>
            <w:hyperlink r:id="rId5" w:history="1">
              <w:r>
                <w:rPr>
                  <w:color w:val="0000FF"/>
                </w:rPr>
                <w:t>Закона</w:t>
              </w:r>
            </w:hyperlink>
            <w:r>
              <w:t xml:space="preserve"> г. Моск</w:t>
            </w:r>
            <w:r>
              <w:t>вы от 29.11.2017 N 45)</w:t>
            </w:r>
          </w:p>
        </w:tc>
      </w:tr>
      <w:tr w:rsidR="00000000">
        <w:tc>
          <w:tcPr>
            <w:tcW w:w="652"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p>
        </w:tc>
        <w:tc>
          <w:tcPr>
            <w:tcW w:w="5920"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r>
              <w:t>1) районах, входящих в Центральный административный округ города Москвы;</w:t>
            </w:r>
          </w:p>
        </w:tc>
        <w:tc>
          <w:tcPr>
            <w:tcW w:w="2154"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r>
              <w:t>81000</w:t>
            </w:r>
          </w:p>
        </w:tc>
      </w:tr>
      <w:tr w:rsidR="00000000">
        <w:tc>
          <w:tcPr>
            <w:tcW w:w="652"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p>
        </w:tc>
        <w:tc>
          <w:tcPr>
            <w:tcW w:w="5920"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r>
              <w:t>2) районах и поселениях, вход</w:t>
            </w:r>
            <w:r>
              <w:t>ящих в Зеленоградский, Троицкий и Новомосковский административные округа города Москвы, а также в районах Молжаниновский Северного административного округа города Москвы, Северный Северо-Восточного административного округа города Москвы, Восточный, Новокос</w:t>
            </w:r>
            <w:r>
              <w:t>ино и Косино-Ухтомский Восточного административного округа города Москвы, Некрасовка Юго-Восточного административного округа города Москвы, Северное Бутово и Южное Бутово Юго-Западного административного округа города Москвы, Солнцево, Ново-Переделкино и Вн</w:t>
            </w:r>
            <w:r>
              <w:t>уково Западного административного округа города Москвы, Митино и Куркино Северо-Западного административного округа города Москвы;</w:t>
            </w:r>
          </w:p>
        </w:tc>
        <w:tc>
          <w:tcPr>
            <w:tcW w:w="2154"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r>
              <w:t>28350</w:t>
            </w:r>
          </w:p>
        </w:tc>
      </w:tr>
      <w:tr w:rsidR="00000000">
        <w:tc>
          <w:tcPr>
            <w:tcW w:w="652"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p>
        </w:tc>
        <w:tc>
          <w:tcPr>
            <w:tcW w:w="5920"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r>
              <w:t>3) районах, входящих в Северный (за исключением района Молжаниновский), Северо-Восточный (за исключением района Север</w:t>
            </w:r>
            <w:r>
              <w:t xml:space="preserve">ный), Восточный (за </w:t>
            </w:r>
            <w:r>
              <w:lastRenderedPageBreak/>
              <w:t>исключением районов Восточный, Новокосино и Косино-Ухтомский), Юго-Восточный (за исключением района Некрасовка), Южный, Юго-Западный (за исключением районов Северное Бутово и Южное Бутово), Западный (за исключением районов Солнцево, Нов</w:t>
            </w:r>
            <w:r>
              <w:t>о-Переделкино и Внуково), Северо-Западный (за исключением районов Митино и Куркино) административные округа города Москвы</w:t>
            </w:r>
          </w:p>
        </w:tc>
        <w:tc>
          <w:tcPr>
            <w:tcW w:w="2154"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r>
              <w:t>40500</w:t>
            </w:r>
          </w:p>
        </w:tc>
      </w:tr>
      <w:tr w:rsidR="00000000">
        <w:tc>
          <w:tcPr>
            <w:tcW w:w="652"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r>
              <w:t>1.1.</w:t>
            </w:r>
          </w:p>
        </w:tc>
        <w:tc>
          <w:tcPr>
            <w:tcW w:w="5920"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r>
              <w:t>Торговля через объекты нестационарной торговой сети (за исключением развозной и разносной розничной торговли), расположен</w:t>
            </w:r>
            <w:r>
              <w:t>ные в:</w:t>
            </w:r>
          </w:p>
        </w:tc>
        <w:tc>
          <w:tcPr>
            <w:tcW w:w="2154"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r>
              <w:t>Объект осуществления торговли</w:t>
            </w:r>
          </w:p>
        </w:tc>
        <w:tc>
          <w:tcPr>
            <w:tcW w:w="2119"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p>
        </w:tc>
      </w:tr>
      <w:tr w:rsidR="00000000">
        <w:tc>
          <w:tcPr>
            <w:tcW w:w="652"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p>
        </w:tc>
        <w:tc>
          <w:tcPr>
            <w:tcW w:w="5920"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r>
              <w:t>1) районах, входящих в Центральный административный округ города Москвы;</w:t>
            </w:r>
          </w:p>
        </w:tc>
        <w:tc>
          <w:tcPr>
            <w:tcW w:w="2154"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r>
              <w:t>40500</w:t>
            </w:r>
          </w:p>
        </w:tc>
      </w:tr>
      <w:tr w:rsidR="00000000">
        <w:tc>
          <w:tcPr>
            <w:tcW w:w="652"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p>
        </w:tc>
        <w:tc>
          <w:tcPr>
            <w:tcW w:w="5920"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r>
              <w:t>2) районах и поселениях, входящих в Зеленоградский, Троицкий и Новомосковский административные округа города Москвы, а также в районах Молжаниновский Северного административного округа города Москвы, Северный Северо-Восточного административного округа горо</w:t>
            </w:r>
            <w:r>
              <w:t>да Москвы, Восточный, Новокосино и Косино-Ухтомский Восточного административного округа города Москвы, Некрасовка Юго-Восточного административного округа города Москвы, Северное Бутово и Южное Бутово Юго-Западного административного округа города Москвы, Со</w:t>
            </w:r>
            <w:r>
              <w:t>лнцево, Ново-Переделкино и Внуково Западного административного округа города Москвы, Митино и Куркино Северо-Западного административного округа города Москвы;</w:t>
            </w:r>
          </w:p>
        </w:tc>
        <w:tc>
          <w:tcPr>
            <w:tcW w:w="2154"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r>
              <w:t>28350</w:t>
            </w:r>
          </w:p>
        </w:tc>
      </w:tr>
      <w:tr w:rsidR="00000000">
        <w:tc>
          <w:tcPr>
            <w:tcW w:w="652" w:type="dxa"/>
            <w:tcBorders>
              <w:top w:val="single" w:sz="4" w:space="0" w:color="auto"/>
              <w:left w:val="single" w:sz="4" w:space="0" w:color="auto"/>
              <w:right w:val="single" w:sz="4" w:space="0" w:color="auto"/>
            </w:tcBorders>
          </w:tcPr>
          <w:p w:rsidR="00000000" w:rsidRDefault="00FE49C9">
            <w:pPr>
              <w:pStyle w:val="ConsPlusNormal"/>
            </w:pPr>
          </w:p>
        </w:tc>
        <w:tc>
          <w:tcPr>
            <w:tcW w:w="5920" w:type="dxa"/>
            <w:tcBorders>
              <w:top w:val="single" w:sz="4" w:space="0" w:color="auto"/>
              <w:left w:val="single" w:sz="4" w:space="0" w:color="auto"/>
              <w:right w:val="single" w:sz="4" w:space="0" w:color="auto"/>
            </w:tcBorders>
          </w:tcPr>
          <w:p w:rsidR="00000000" w:rsidRDefault="00FE49C9">
            <w:pPr>
              <w:pStyle w:val="ConsPlusNormal"/>
            </w:pPr>
            <w:r>
              <w:t>3) районах, входящих в Северный (за исключением района Молжаниновский), Северо-Восточный</w:t>
            </w:r>
            <w:r>
              <w:t xml:space="preserve"> (за исключением района Северный), Восточный (за исключением районов Восточный, Новокосино и Косино-Ухтомский), Юго-Восточный (за исключением </w:t>
            </w:r>
            <w:r>
              <w:lastRenderedPageBreak/>
              <w:t>района Некрасовка), Южный, Юго-Западный (за исключением районов Северное Бутово и Южное Бутово), Западный (за искл</w:t>
            </w:r>
            <w:r>
              <w:t>ючением районов Солнцево, Ново-Переделкино и Внуково), Северо-Западный (за исключением районов Митино и Куркино) административные округа города Москвы</w:t>
            </w:r>
          </w:p>
        </w:tc>
        <w:tc>
          <w:tcPr>
            <w:tcW w:w="2154" w:type="dxa"/>
            <w:tcBorders>
              <w:top w:val="single" w:sz="4" w:space="0" w:color="auto"/>
              <w:left w:val="single" w:sz="4" w:space="0" w:color="auto"/>
              <w:right w:val="single" w:sz="4" w:space="0" w:color="auto"/>
            </w:tcBorders>
          </w:tcPr>
          <w:p w:rsidR="00000000" w:rsidRDefault="00FE49C9">
            <w:pPr>
              <w:pStyle w:val="ConsPlusNormal"/>
            </w:pPr>
          </w:p>
        </w:tc>
        <w:tc>
          <w:tcPr>
            <w:tcW w:w="2119" w:type="dxa"/>
            <w:tcBorders>
              <w:top w:val="single" w:sz="4" w:space="0" w:color="auto"/>
              <w:left w:val="single" w:sz="4" w:space="0" w:color="auto"/>
              <w:right w:val="single" w:sz="4" w:space="0" w:color="auto"/>
            </w:tcBorders>
          </w:tcPr>
          <w:p w:rsidR="00000000" w:rsidRDefault="00FE49C9">
            <w:pPr>
              <w:pStyle w:val="ConsPlusNormal"/>
            </w:pPr>
            <w:r>
              <w:t>40500</w:t>
            </w:r>
          </w:p>
        </w:tc>
      </w:tr>
      <w:tr w:rsidR="00000000">
        <w:tc>
          <w:tcPr>
            <w:tcW w:w="10845" w:type="dxa"/>
            <w:gridSpan w:val="4"/>
            <w:tcBorders>
              <w:left w:val="single" w:sz="4" w:space="0" w:color="auto"/>
              <w:bottom w:val="single" w:sz="4" w:space="0" w:color="auto"/>
              <w:right w:val="single" w:sz="4" w:space="0" w:color="auto"/>
            </w:tcBorders>
          </w:tcPr>
          <w:p w:rsidR="00000000" w:rsidRDefault="00FE49C9">
            <w:pPr>
              <w:pStyle w:val="ConsPlusNormal"/>
              <w:jc w:val="both"/>
            </w:pPr>
            <w:r>
              <w:t xml:space="preserve">(п. 1.1 введен </w:t>
            </w:r>
            <w:hyperlink r:id="rId6" w:history="1">
              <w:r>
                <w:rPr>
                  <w:color w:val="0000FF"/>
                </w:rPr>
                <w:t>Законом</w:t>
              </w:r>
            </w:hyperlink>
            <w:r>
              <w:t xml:space="preserve"> г. Москвы от 29.11.2017 N 45)</w:t>
            </w:r>
          </w:p>
        </w:tc>
      </w:tr>
      <w:tr w:rsidR="00000000">
        <w:tc>
          <w:tcPr>
            <w:tcW w:w="652" w:type="dxa"/>
            <w:tcBorders>
              <w:top w:val="single" w:sz="4" w:space="0" w:color="auto"/>
              <w:left w:val="single" w:sz="4" w:space="0" w:color="auto"/>
              <w:right w:val="single" w:sz="4" w:space="0" w:color="auto"/>
            </w:tcBorders>
          </w:tcPr>
          <w:p w:rsidR="00000000" w:rsidRDefault="00FE49C9">
            <w:pPr>
              <w:pStyle w:val="ConsPlusNormal"/>
            </w:pPr>
            <w:r>
              <w:t>2.</w:t>
            </w:r>
          </w:p>
        </w:tc>
        <w:tc>
          <w:tcPr>
            <w:tcW w:w="5920" w:type="dxa"/>
            <w:tcBorders>
              <w:top w:val="single" w:sz="4" w:space="0" w:color="auto"/>
              <w:left w:val="single" w:sz="4" w:space="0" w:color="auto"/>
              <w:right w:val="single" w:sz="4" w:space="0" w:color="auto"/>
            </w:tcBorders>
          </w:tcPr>
          <w:p w:rsidR="00000000" w:rsidRDefault="00FE49C9">
            <w:pPr>
              <w:pStyle w:val="ConsPlusNormal"/>
            </w:pPr>
            <w:r>
              <w:t>Развозная розничная торговля</w:t>
            </w:r>
          </w:p>
        </w:tc>
        <w:tc>
          <w:tcPr>
            <w:tcW w:w="2154" w:type="dxa"/>
            <w:tcBorders>
              <w:top w:val="single" w:sz="4" w:space="0" w:color="auto"/>
              <w:left w:val="single" w:sz="4" w:space="0" w:color="auto"/>
              <w:right w:val="single" w:sz="4" w:space="0" w:color="auto"/>
            </w:tcBorders>
          </w:tcPr>
          <w:p w:rsidR="00000000" w:rsidRDefault="00FE49C9">
            <w:pPr>
              <w:pStyle w:val="ConsPlusNormal"/>
            </w:pPr>
            <w:r>
              <w:t>Объект осуществления торговли</w:t>
            </w:r>
          </w:p>
        </w:tc>
        <w:tc>
          <w:tcPr>
            <w:tcW w:w="2119" w:type="dxa"/>
            <w:tcBorders>
              <w:top w:val="single" w:sz="4" w:space="0" w:color="auto"/>
              <w:left w:val="single" w:sz="4" w:space="0" w:color="auto"/>
              <w:right w:val="single" w:sz="4" w:space="0" w:color="auto"/>
            </w:tcBorders>
          </w:tcPr>
          <w:p w:rsidR="00000000" w:rsidRDefault="00FE49C9">
            <w:pPr>
              <w:pStyle w:val="ConsPlusNormal"/>
            </w:pPr>
            <w:r>
              <w:t>40500</w:t>
            </w:r>
          </w:p>
        </w:tc>
      </w:tr>
      <w:tr w:rsidR="00000000">
        <w:tc>
          <w:tcPr>
            <w:tcW w:w="10845" w:type="dxa"/>
            <w:gridSpan w:val="4"/>
            <w:tcBorders>
              <w:left w:val="single" w:sz="4" w:space="0" w:color="auto"/>
              <w:bottom w:val="single" w:sz="4" w:space="0" w:color="auto"/>
              <w:right w:val="single" w:sz="4" w:space="0" w:color="auto"/>
            </w:tcBorders>
          </w:tcPr>
          <w:p w:rsidR="00000000" w:rsidRDefault="00FE49C9">
            <w:pPr>
              <w:pStyle w:val="ConsPlusNormal"/>
              <w:jc w:val="both"/>
            </w:pPr>
            <w:r>
              <w:t xml:space="preserve">(в ред. </w:t>
            </w:r>
            <w:hyperlink r:id="rId7" w:history="1">
              <w:r>
                <w:rPr>
                  <w:color w:val="0000FF"/>
                </w:rPr>
                <w:t>Закона</w:t>
              </w:r>
            </w:hyperlink>
            <w:r>
              <w:t xml:space="preserve"> г. Москвы от 11.11.2020 N 21)</w:t>
            </w:r>
          </w:p>
        </w:tc>
      </w:tr>
      <w:tr w:rsidR="00000000">
        <w:tc>
          <w:tcPr>
            <w:tcW w:w="652" w:type="dxa"/>
            <w:tcBorders>
              <w:top w:val="single" w:sz="4" w:space="0" w:color="auto"/>
              <w:left w:val="single" w:sz="4" w:space="0" w:color="auto"/>
              <w:right w:val="single" w:sz="4" w:space="0" w:color="auto"/>
            </w:tcBorders>
          </w:tcPr>
          <w:p w:rsidR="00000000" w:rsidRDefault="00FE49C9">
            <w:pPr>
              <w:pStyle w:val="ConsPlusNormal"/>
            </w:pPr>
            <w:r>
              <w:t>2.1.</w:t>
            </w:r>
          </w:p>
        </w:tc>
        <w:tc>
          <w:tcPr>
            <w:tcW w:w="5920" w:type="dxa"/>
            <w:tcBorders>
              <w:top w:val="single" w:sz="4" w:space="0" w:color="auto"/>
              <w:left w:val="single" w:sz="4" w:space="0" w:color="auto"/>
              <w:right w:val="single" w:sz="4" w:space="0" w:color="auto"/>
            </w:tcBorders>
          </w:tcPr>
          <w:p w:rsidR="00000000" w:rsidRDefault="00FE49C9">
            <w:pPr>
              <w:pStyle w:val="ConsPlusNormal"/>
            </w:pPr>
            <w:r>
              <w:t>Розничная торговля, осуществляемая с использованием торговых (вендинговых) автоматов</w:t>
            </w:r>
          </w:p>
        </w:tc>
        <w:tc>
          <w:tcPr>
            <w:tcW w:w="2154" w:type="dxa"/>
            <w:tcBorders>
              <w:top w:val="single" w:sz="4" w:space="0" w:color="auto"/>
              <w:left w:val="single" w:sz="4" w:space="0" w:color="auto"/>
              <w:right w:val="single" w:sz="4" w:space="0" w:color="auto"/>
            </w:tcBorders>
          </w:tcPr>
          <w:p w:rsidR="00000000" w:rsidRDefault="00FE49C9">
            <w:pPr>
              <w:pStyle w:val="ConsPlusNormal"/>
            </w:pPr>
            <w:r>
              <w:t>Объект осуществления торговли</w:t>
            </w:r>
          </w:p>
        </w:tc>
        <w:tc>
          <w:tcPr>
            <w:tcW w:w="2119" w:type="dxa"/>
            <w:tcBorders>
              <w:top w:val="single" w:sz="4" w:space="0" w:color="auto"/>
              <w:left w:val="single" w:sz="4" w:space="0" w:color="auto"/>
              <w:right w:val="single" w:sz="4" w:space="0" w:color="auto"/>
            </w:tcBorders>
          </w:tcPr>
          <w:p w:rsidR="00000000" w:rsidRDefault="00FE49C9">
            <w:pPr>
              <w:pStyle w:val="ConsPlusNormal"/>
            </w:pPr>
            <w:r>
              <w:t>4900</w:t>
            </w:r>
          </w:p>
        </w:tc>
      </w:tr>
      <w:tr w:rsidR="00000000">
        <w:tc>
          <w:tcPr>
            <w:tcW w:w="10845" w:type="dxa"/>
            <w:gridSpan w:val="4"/>
            <w:tcBorders>
              <w:left w:val="single" w:sz="4" w:space="0" w:color="auto"/>
              <w:bottom w:val="single" w:sz="4" w:space="0" w:color="auto"/>
              <w:right w:val="single" w:sz="4" w:space="0" w:color="auto"/>
            </w:tcBorders>
          </w:tcPr>
          <w:p w:rsidR="00000000" w:rsidRDefault="00FE49C9">
            <w:pPr>
              <w:pStyle w:val="ConsPlusNormal"/>
              <w:jc w:val="both"/>
            </w:pPr>
            <w:r>
              <w:t xml:space="preserve">(п. 2.1 введен </w:t>
            </w:r>
            <w:hyperlink r:id="rId8" w:history="1">
              <w:r>
                <w:rPr>
                  <w:color w:val="0000FF"/>
                </w:rPr>
                <w:t>Законом</w:t>
              </w:r>
            </w:hyperlink>
            <w:r>
              <w:t xml:space="preserve"> г. Москвы от 11.11.2020 N 21)</w:t>
            </w:r>
          </w:p>
        </w:tc>
      </w:tr>
      <w:tr w:rsidR="00000000">
        <w:tc>
          <w:tcPr>
            <w:tcW w:w="652"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r>
              <w:t>3.</w:t>
            </w:r>
          </w:p>
        </w:tc>
        <w:tc>
          <w:tcPr>
            <w:tcW w:w="5920"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r>
              <w:t>Торговля через объекты стационарной торговой сети с торговыми залами:</w:t>
            </w:r>
          </w:p>
        </w:tc>
        <w:tc>
          <w:tcPr>
            <w:tcW w:w="2154"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p>
        </w:tc>
      </w:tr>
      <w:tr w:rsidR="00000000">
        <w:tc>
          <w:tcPr>
            <w:tcW w:w="652"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p>
        </w:tc>
        <w:tc>
          <w:tcPr>
            <w:tcW w:w="5920"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r>
              <w:t>1) до 50 кв. метров (включительно), расположенные в:</w:t>
            </w:r>
          </w:p>
        </w:tc>
        <w:tc>
          <w:tcPr>
            <w:tcW w:w="2154"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r>
              <w:t>Объект осуществления торговли</w:t>
            </w:r>
          </w:p>
        </w:tc>
        <w:tc>
          <w:tcPr>
            <w:tcW w:w="2119"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p>
        </w:tc>
      </w:tr>
      <w:tr w:rsidR="00000000">
        <w:tc>
          <w:tcPr>
            <w:tcW w:w="652"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p>
        </w:tc>
        <w:tc>
          <w:tcPr>
            <w:tcW w:w="5920"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r>
              <w:t>а) районах, входящих в Центральный административный округ города Москвы;</w:t>
            </w:r>
          </w:p>
        </w:tc>
        <w:tc>
          <w:tcPr>
            <w:tcW w:w="2154"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r>
              <w:t>54000</w:t>
            </w:r>
          </w:p>
        </w:tc>
      </w:tr>
      <w:tr w:rsidR="00000000">
        <w:tc>
          <w:tcPr>
            <w:tcW w:w="652"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p>
        </w:tc>
        <w:tc>
          <w:tcPr>
            <w:tcW w:w="5920"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r>
              <w:t>б) районах и поселениях, входящих в Зеленоградский, Троицкий и Новомосковский администра</w:t>
            </w:r>
            <w:r>
              <w:t xml:space="preserve">тивные округа города Москвы, а также в районах Молжаниновский Северного административного округа города Москвы, Северный Северо-Восточного административного округа города Москвы, Восточный, Новокосино и Косино-Ухтомский Восточного административного </w:t>
            </w:r>
            <w:r>
              <w:lastRenderedPageBreak/>
              <w:t xml:space="preserve">округа </w:t>
            </w:r>
            <w:r>
              <w:t>города Москвы, Некрасовка Юго-Восточного административного округа города Москвы, Северное Бутово и Южное Бутово Юго-Западного административного округа города Москвы, Солнцево, Ново-Переделкино и Внуково Западного административного округа города Москвы, Мит</w:t>
            </w:r>
            <w:r>
              <w:t>ино и Куркино Северо-Западного административного округа города Москвы;</w:t>
            </w:r>
          </w:p>
        </w:tc>
        <w:tc>
          <w:tcPr>
            <w:tcW w:w="2154"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r>
              <w:t>18900</w:t>
            </w:r>
          </w:p>
        </w:tc>
      </w:tr>
      <w:tr w:rsidR="00000000">
        <w:tc>
          <w:tcPr>
            <w:tcW w:w="652"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p>
        </w:tc>
        <w:tc>
          <w:tcPr>
            <w:tcW w:w="5920"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r>
              <w:t>в) районах, входящих в Северный (за исключением района Молжаниновский), Северо-Восточный (за исключением района Северный), Восточный (за исключением районов Восточный, Новокоси</w:t>
            </w:r>
            <w:r>
              <w:t>но и Косино-Ухтомский), Юго-Восточный (за исключением района Некрасовка), Южный, Юго-Западный (за исключением районов Северное Бутово и Южное Бутово), Западный (за исключением районов Солнцево, Ново-Переделкино и Внуково), Северо-Западный (за исключением р</w:t>
            </w:r>
            <w:r>
              <w:t>айонов Митино и Куркино) административные округа города Москвы;</w:t>
            </w:r>
          </w:p>
        </w:tc>
        <w:tc>
          <w:tcPr>
            <w:tcW w:w="2154"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r>
              <w:t>27000</w:t>
            </w:r>
          </w:p>
        </w:tc>
      </w:tr>
      <w:tr w:rsidR="00000000">
        <w:tc>
          <w:tcPr>
            <w:tcW w:w="652"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p>
        </w:tc>
        <w:tc>
          <w:tcPr>
            <w:tcW w:w="5920"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r>
              <w:t>2) свыше 50 кв. метров до 150 кв. метров (включительно), расположенные в:</w:t>
            </w:r>
          </w:p>
        </w:tc>
        <w:tc>
          <w:tcPr>
            <w:tcW w:w="2154"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r>
              <w:t>1 кв. метр площади торгового зала</w:t>
            </w:r>
          </w:p>
        </w:tc>
        <w:tc>
          <w:tcPr>
            <w:tcW w:w="2119"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p>
        </w:tc>
      </w:tr>
      <w:tr w:rsidR="00000000">
        <w:tc>
          <w:tcPr>
            <w:tcW w:w="652"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p>
        </w:tc>
        <w:tc>
          <w:tcPr>
            <w:tcW w:w="5920"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r>
              <w:t>а) районах, входящих в Центральный административный округ города Москвы;</w:t>
            </w:r>
          </w:p>
        </w:tc>
        <w:tc>
          <w:tcPr>
            <w:tcW w:w="2154"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r>
              <w:t xml:space="preserve">1080 рублей за каждый кв. метр площади торгового зала, не превышающей 50 кв. метров, и 60 рублей за каждый полный (неполный) кв. метр площади торгового зала свыше 50 кв. </w:t>
            </w:r>
            <w:r>
              <w:lastRenderedPageBreak/>
              <w:t>метров</w:t>
            </w:r>
          </w:p>
        </w:tc>
      </w:tr>
      <w:tr w:rsidR="00000000">
        <w:tc>
          <w:tcPr>
            <w:tcW w:w="652"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p>
        </w:tc>
        <w:tc>
          <w:tcPr>
            <w:tcW w:w="5920"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r>
              <w:t>б) районах и поселениях, входящих в Зеленоградский, Троицкий и Новомосковск</w:t>
            </w:r>
            <w:r>
              <w:t>ий административные округа города Москвы, а также в районах Молжаниновский Северного административного округа города Москвы, Северный Северо-Восточного административного округа города Москвы, Восточный, Новокосино и Косино-Ухтомский Восточного администрати</w:t>
            </w:r>
            <w:r>
              <w:t>вного округа города Москвы, Некрасовка Юго-Восточного административного округа города Москвы, Северное Бутово и Южное Бутово Юго-Западного административного округа города Москвы, Солнцево, Ново-Переделкино и Внуково Западного административного округа город</w:t>
            </w:r>
            <w:r>
              <w:t>а Москвы, Митино и Куркино Северо-Западного административного округа города Москвы;</w:t>
            </w:r>
          </w:p>
        </w:tc>
        <w:tc>
          <w:tcPr>
            <w:tcW w:w="2154"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r>
              <w:t>378 рублей за каждый кв. метр площади торгового зала, не превышающей 50 кв. метров, и 50 рублей за каждый полный (неполный) кв. метр площади торгового зала свыше 50 кв. ме</w:t>
            </w:r>
            <w:r>
              <w:t>тров</w:t>
            </w:r>
          </w:p>
        </w:tc>
      </w:tr>
      <w:tr w:rsidR="00000000">
        <w:tc>
          <w:tcPr>
            <w:tcW w:w="652"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p>
        </w:tc>
        <w:tc>
          <w:tcPr>
            <w:tcW w:w="5920"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r>
              <w:t>в) районах, входящих в Северный (за исключением района Молжаниновский), Северо-Восточный (за исключением района Северный), Восточный (за исключением районов Восточный, Новокосино и Косино-Ухтомский), Юго-Восточный (за исключением района Некрасовка),</w:t>
            </w:r>
            <w:r>
              <w:t xml:space="preserve"> Южный, Юго-Западный (за исключением районов Северное Бутово и Южное Бутово), Западный (за исключением районов Солнцево, Ново-Переделкино и Внуково), Северо-Западный (за исключением районов Митино и Куркино) административные округа города Москвы;</w:t>
            </w:r>
          </w:p>
        </w:tc>
        <w:tc>
          <w:tcPr>
            <w:tcW w:w="2154"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r>
              <w:t>540 рубл</w:t>
            </w:r>
            <w:r>
              <w:t>ей за каждый кв. метр площади торгового зала, не превышающей 50 кв. метров, и 55 рублей за каждый полный (неполный) кв. метр площади торгового зала свыше 50 кв. метров</w:t>
            </w:r>
          </w:p>
        </w:tc>
      </w:tr>
      <w:tr w:rsidR="00000000">
        <w:tc>
          <w:tcPr>
            <w:tcW w:w="652"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p>
        </w:tc>
        <w:tc>
          <w:tcPr>
            <w:tcW w:w="5920"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r>
              <w:t>3) свыше 150 кв. метров до 300 кв. метров (включительно), расположенные в:</w:t>
            </w:r>
          </w:p>
        </w:tc>
        <w:tc>
          <w:tcPr>
            <w:tcW w:w="2154"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r>
              <w:t xml:space="preserve">1 кв. метр </w:t>
            </w:r>
            <w:r>
              <w:t>площади торгового зала</w:t>
            </w:r>
          </w:p>
        </w:tc>
        <w:tc>
          <w:tcPr>
            <w:tcW w:w="2119"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p>
        </w:tc>
      </w:tr>
      <w:tr w:rsidR="00000000">
        <w:tc>
          <w:tcPr>
            <w:tcW w:w="652"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p>
        </w:tc>
        <w:tc>
          <w:tcPr>
            <w:tcW w:w="5920"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r>
              <w:t>а) районах, входящих в Центральный административный округ города Москвы;</w:t>
            </w:r>
          </w:p>
        </w:tc>
        <w:tc>
          <w:tcPr>
            <w:tcW w:w="2154"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r>
              <w:t xml:space="preserve">1080 рублей за каждый кв. метр </w:t>
            </w:r>
            <w:r>
              <w:lastRenderedPageBreak/>
              <w:t>площади торгового зала, не превышающей 50 кв. метров, 60 рублей за каждый к</w:t>
            </w:r>
            <w:r>
              <w:t>в. метр площади торгового зала свыше 50 кв. метров до 150 кв. метров (включительно) и 70 рублей за каждый полный (неполный) кв. метр площади торгового зала свыше 150 кв. метров</w:t>
            </w:r>
          </w:p>
        </w:tc>
      </w:tr>
      <w:tr w:rsidR="00000000">
        <w:tc>
          <w:tcPr>
            <w:tcW w:w="652"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p>
        </w:tc>
        <w:tc>
          <w:tcPr>
            <w:tcW w:w="5920"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r>
              <w:t>б) районах и поселениях, входящих в Зеленоградский, Троицкий и Новомосковский</w:t>
            </w:r>
            <w:r>
              <w:t xml:space="preserve"> административные округа города Москвы, а также в районах Молжаниновский Северного административного округа города Москвы, Северный Северо-Восточного административного округа города Москвы, Восточный, Новокосино и Косино-Ухтомский Восточного административн</w:t>
            </w:r>
            <w:r>
              <w:t xml:space="preserve">ого округа города Москвы, Некрасовка Юго-Восточного административного округа города Москвы, Северное Бутово и Южное Бутово Юго-Западного административного округа города Москвы, Солнцево, Ново-Переделкино и Внуково Западного административного округа города </w:t>
            </w:r>
            <w:r>
              <w:t>Москвы, Митино и Куркино Северо-Западного административного округа города Москвы;</w:t>
            </w:r>
          </w:p>
        </w:tc>
        <w:tc>
          <w:tcPr>
            <w:tcW w:w="2154"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r>
              <w:t>378 рублей за каждый кв. метр площади торгового зала, не превышающей 50 кв. метров, 50 рублей за каждый кв. метр площади торгового зала свыше 50 кв. метров до 150 кв. метров</w:t>
            </w:r>
            <w:r>
              <w:t xml:space="preserve"> (включительно) и 60 рублей за каждый полный (неполный) кв. метр площади </w:t>
            </w:r>
            <w:r>
              <w:lastRenderedPageBreak/>
              <w:t>торгового зала свыше 150 кв. метров</w:t>
            </w:r>
          </w:p>
        </w:tc>
      </w:tr>
      <w:tr w:rsidR="00000000">
        <w:tc>
          <w:tcPr>
            <w:tcW w:w="652"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p>
        </w:tc>
        <w:tc>
          <w:tcPr>
            <w:tcW w:w="5920"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r>
              <w:t>в) районах, входящих в Северный (за исключением района Молжаниновский), Северо-Восточный (за исключением района Северный), Восточный (за исключен</w:t>
            </w:r>
            <w:r>
              <w:t>ием районов Восточный, Новокосино и Косино-Ухтомский), Юго-Восточный (за исключением района Некрасовка), Южный, Юго-Западный (за исключением районов Северное Бутово и Южное Бутово), Западный (за исключением районов Солнцево, Ново-Переделкино и Внуково), Се</w:t>
            </w:r>
            <w:r>
              <w:t>веро-Западный (за исключением районов Митино и Куркино) административные округа города Москвы;</w:t>
            </w:r>
          </w:p>
        </w:tc>
        <w:tc>
          <w:tcPr>
            <w:tcW w:w="2154"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r>
              <w:t>540 рублей за каждый кв. метр площади торгового зала, не превышающей 50 кв. метров, 55 рублей за каждый кв. метр площади торгового зала свыше 50 кв. метров до 1</w:t>
            </w:r>
            <w:r>
              <w:t>50 кв. метров (включительно) и 65 рублей за каждый полный (неполный) кв. метр площади торгового зала свыше 150 кв. метров</w:t>
            </w:r>
          </w:p>
        </w:tc>
      </w:tr>
      <w:tr w:rsidR="00000000">
        <w:tc>
          <w:tcPr>
            <w:tcW w:w="652"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p>
        </w:tc>
        <w:tc>
          <w:tcPr>
            <w:tcW w:w="5920"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r>
              <w:t>4) свыше 300 кв. метров, расположенные в:</w:t>
            </w:r>
          </w:p>
        </w:tc>
        <w:tc>
          <w:tcPr>
            <w:tcW w:w="2154"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r>
              <w:t>1 кв. метр площади торгового зала</w:t>
            </w:r>
          </w:p>
        </w:tc>
        <w:tc>
          <w:tcPr>
            <w:tcW w:w="2119"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p>
        </w:tc>
      </w:tr>
      <w:tr w:rsidR="00000000">
        <w:tc>
          <w:tcPr>
            <w:tcW w:w="652"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p>
        </w:tc>
        <w:tc>
          <w:tcPr>
            <w:tcW w:w="5920"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r>
              <w:t>а) районах, входящих в Центральный администрати</w:t>
            </w:r>
            <w:r>
              <w:t>вный округ города Москвы;</w:t>
            </w:r>
          </w:p>
        </w:tc>
        <w:tc>
          <w:tcPr>
            <w:tcW w:w="2154"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r>
              <w:t xml:space="preserve">1080 рублей за каждый кв. метр площади торгового зала, не превышающей 50 кв. метров, 60 рублей за каждый кв. метр площади </w:t>
            </w:r>
            <w:r>
              <w:lastRenderedPageBreak/>
              <w:t>торгового зала свыше 50 кв. метров до 150 кв. метров (включительно), 70 рублей за каждый кв. метр площади т</w:t>
            </w:r>
            <w:r>
              <w:t>оргового зала свыше 150 кв. метров до 300 кв. метров (включительно) и 75 рублей за каждый полный (неполный) кв. метр площади торгового зала свыше 300 кв. метров</w:t>
            </w:r>
          </w:p>
        </w:tc>
      </w:tr>
      <w:tr w:rsidR="00000000">
        <w:tc>
          <w:tcPr>
            <w:tcW w:w="652"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p>
        </w:tc>
        <w:tc>
          <w:tcPr>
            <w:tcW w:w="5920"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r>
              <w:t>б) районах и поселениях, входящих в Зеленоградский, Троицкий и Новомосковский административны</w:t>
            </w:r>
            <w:r>
              <w:t>е округа города Москвы, а также в районах Молжаниновский Северного административного округа города Москвы, Северный Северо-Восточного административного округа города Москвы, Восточный, Новокосино и Косино-Ухтомский Восточного административного округа город</w:t>
            </w:r>
            <w:r>
              <w:t>а Москвы, Некрасовка Юго-Восточного административного округа города Москвы, Северное Бутово и Южное Бутово Юго-Западного административного округа города Москвы, Солнцево, Ново-Переделкино и Внуково Западного административного округа города Москвы, Митино и</w:t>
            </w:r>
            <w:r>
              <w:t xml:space="preserve"> Куркино Северо-Западного административного округа города Москвы;</w:t>
            </w:r>
          </w:p>
        </w:tc>
        <w:tc>
          <w:tcPr>
            <w:tcW w:w="2154"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r>
              <w:t>378 рублей за каждый кв. метр площади торгового зала, не превышающей 50 кв. метров, 50 рублей за каждый кв. метр площади торгового зала свыше 50 кв. метров до 150 кв. метров (включительно),</w:t>
            </w:r>
            <w:r>
              <w:t xml:space="preserve"> 60 рублей за каждый кв. метр площади торгового зала </w:t>
            </w:r>
            <w:r>
              <w:lastRenderedPageBreak/>
              <w:t>свыше 150 кв. метров до 300 кв. метров (включительно) и 75 рублей за каждый полный (неполный) кв. метр площади торгового зала свыше 300 кв. метров</w:t>
            </w:r>
          </w:p>
        </w:tc>
      </w:tr>
      <w:tr w:rsidR="00000000">
        <w:tc>
          <w:tcPr>
            <w:tcW w:w="652" w:type="dxa"/>
            <w:tcBorders>
              <w:top w:val="single" w:sz="4" w:space="0" w:color="auto"/>
              <w:left w:val="single" w:sz="4" w:space="0" w:color="auto"/>
              <w:right w:val="single" w:sz="4" w:space="0" w:color="auto"/>
            </w:tcBorders>
          </w:tcPr>
          <w:p w:rsidR="00000000" w:rsidRDefault="00FE49C9">
            <w:pPr>
              <w:pStyle w:val="ConsPlusNormal"/>
            </w:pPr>
          </w:p>
        </w:tc>
        <w:tc>
          <w:tcPr>
            <w:tcW w:w="5920" w:type="dxa"/>
            <w:tcBorders>
              <w:top w:val="single" w:sz="4" w:space="0" w:color="auto"/>
              <w:left w:val="single" w:sz="4" w:space="0" w:color="auto"/>
              <w:right w:val="single" w:sz="4" w:space="0" w:color="auto"/>
            </w:tcBorders>
          </w:tcPr>
          <w:p w:rsidR="00000000" w:rsidRDefault="00FE49C9">
            <w:pPr>
              <w:pStyle w:val="ConsPlusNormal"/>
            </w:pPr>
            <w:r>
              <w:t>в) районах, входящих в Северный (за исключением района</w:t>
            </w:r>
            <w:r>
              <w:t xml:space="preserve"> Молжаниновский), Северо-Восточный (за исключением района Северный), Восточный (за исключением районов Восточный, Новокосино и Косино-Ухтомский), Юго-Восточный (за исключением района Некрасовка), Южный, Юго-Западный (за исключением районов Северное Бутово </w:t>
            </w:r>
            <w:r>
              <w:t>и Южное Бутово), Западный (за исключением районов Солнцево, Ново-Переделкино и Внуково), Северо-Западный (за исключением районов Митино и Куркино) административные округа города Москвы</w:t>
            </w:r>
          </w:p>
        </w:tc>
        <w:tc>
          <w:tcPr>
            <w:tcW w:w="2154" w:type="dxa"/>
            <w:tcBorders>
              <w:top w:val="single" w:sz="4" w:space="0" w:color="auto"/>
              <w:left w:val="single" w:sz="4" w:space="0" w:color="auto"/>
              <w:right w:val="single" w:sz="4" w:space="0" w:color="auto"/>
            </w:tcBorders>
          </w:tcPr>
          <w:p w:rsidR="00000000" w:rsidRDefault="00FE49C9">
            <w:pPr>
              <w:pStyle w:val="ConsPlusNormal"/>
            </w:pPr>
          </w:p>
        </w:tc>
        <w:tc>
          <w:tcPr>
            <w:tcW w:w="2119" w:type="dxa"/>
            <w:tcBorders>
              <w:top w:val="single" w:sz="4" w:space="0" w:color="auto"/>
              <w:left w:val="single" w:sz="4" w:space="0" w:color="auto"/>
              <w:right w:val="single" w:sz="4" w:space="0" w:color="auto"/>
            </w:tcBorders>
          </w:tcPr>
          <w:p w:rsidR="00000000" w:rsidRDefault="00FE49C9">
            <w:pPr>
              <w:pStyle w:val="ConsPlusNormal"/>
            </w:pPr>
            <w:r>
              <w:t>540 рублей за каждый кв. метр площади торгового зала, не превышающей 5</w:t>
            </w:r>
            <w:r>
              <w:t>0 кв. метров, 55 рублей за каждый кв. метр площади торгового зала свыше 50 кв. метров до 150 кв. метров (включительно), 65 рублей за каждый кв. метр площади торгового зала свыше 150 кв. метров до 300 кв. метров (включительно) и 75 рублей за каждый полный (</w:t>
            </w:r>
            <w:r>
              <w:t xml:space="preserve">неполный) кв. метр площади </w:t>
            </w:r>
            <w:r>
              <w:lastRenderedPageBreak/>
              <w:t>торгового зала свыше 300 кв. метров</w:t>
            </w:r>
          </w:p>
        </w:tc>
      </w:tr>
      <w:tr w:rsidR="00000000">
        <w:tc>
          <w:tcPr>
            <w:tcW w:w="10845" w:type="dxa"/>
            <w:gridSpan w:val="4"/>
            <w:tcBorders>
              <w:left w:val="single" w:sz="4" w:space="0" w:color="auto"/>
              <w:bottom w:val="single" w:sz="4" w:space="0" w:color="auto"/>
              <w:right w:val="single" w:sz="4" w:space="0" w:color="auto"/>
            </w:tcBorders>
          </w:tcPr>
          <w:p w:rsidR="00000000" w:rsidRDefault="00FE49C9">
            <w:pPr>
              <w:pStyle w:val="ConsPlusNormal"/>
              <w:jc w:val="both"/>
            </w:pPr>
            <w:r>
              <w:lastRenderedPageBreak/>
              <w:t xml:space="preserve">(п. 3 в ред. </w:t>
            </w:r>
            <w:hyperlink r:id="rId9" w:history="1">
              <w:r>
                <w:rPr>
                  <w:color w:val="0000FF"/>
                </w:rPr>
                <w:t>Закона</w:t>
              </w:r>
            </w:hyperlink>
            <w:r>
              <w:t xml:space="preserve"> г. Москвы от 26.12.2018 N 36)</w:t>
            </w:r>
          </w:p>
        </w:tc>
      </w:tr>
      <w:tr w:rsidR="00000000">
        <w:tc>
          <w:tcPr>
            <w:tcW w:w="652"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r>
              <w:t>4.</w:t>
            </w:r>
          </w:p>
        </w:tc>
        <w:tc>
          <w:tcPr>
            <w:tcW w:w="5920"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r>
              <w:t>Организация розничных рынков</w:t>
            </w:r>
          </w:p>
        </w:tc>
        <w:tc>
          <w:tcPr>
            <w:tcW w:w="2154"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r>
              <w:t>1 кв. метр площади розничного рынка</w:t>
            </w:r>
          </w:p>
        </w:tc>
        <w:tc>
          <w:tcPr>
            <w:tcW w:w="2119" w:type="dxa"/>
            <w:tcBorders>
              <w:top w:val="single" w:sz="4" w:space="0" w:color="auto"/>
              <w:left w:val="single" w:sz="4" w:space="0" w:color="auto"/>
              <w:bottom w:val="single" w:sz="4" w:space="0" w:color="auto"/>
              <w:right w:val="single" w:sz="4" w:space="0" w:color="auto"/>
            </w:tcBorders>
          </w:tcPr>
          <w:p w:rsidR="00000000" w:rsidRDefault="00FE49C9">
            <w:pPr>
              <w:pStyle w:val="ConsPlusNormal"/>
            </w:pPr>
            <w:r>
              <w:t>50</w:t>
            </w:r>
          </w:p>
        </w:tc>
      </w:tr>
    </w:tbl>
    <w:p w:rsidR="00000000" w:rsidRDefault="00FE49C9">
      <w:pPr>
        <w:pStyle w:val="ConsPlusNormal"/>
        <w:jc w:val="both"/>
      </w:pPr>
    </w:p>
    <w:p w:rsidR="00FE49C9" w:rsidRDefault="00FE49C9">
      <w:pPr>
        <w:pStyle w:val="ConsPlusNormal"/>
      </w:pPr>
      <w:hyperlink r:id="rId10" w:history="1">
        <w:r>
          <w:rPr>
            <w:i/>
            <w:iCs/>
            <w:color w:val="0000FF"/>
          </w:rPr>
          <w:br/>
          <w:t>ст. 2, Закон г. Москвы от 17.12.2014 N 62 (ред. от 11.11.2020) "О торговом сборе" {КонсультантПлюс}</w:t>
        </w:r>
      </w:hyperlink>
      <w:r>
        <w:br/>
      </w:r>
    </w:p>
    <w:sectPr w:rsidR="00FE49C9">
      <w:pgSz w:w="16838" w:h="11906" w:orient="landscape"/>
      <w:pgMar w:top="1133" w:right="1440" w:bottom="566"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EDB"/>
    <w:rsid w:val="00383EDB"/>
    <w:rsid w:val="00FE4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2538631-1235-4993-8829-0E3CA121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MNV&amp;n=207892&amp;date=20.01.2021&amp;dst=100034&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MNV&amp;n=207892&amp;date=20.01.2021&amp;dst=100033&amp;fld=13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MNV&amp;n=181906&amp;date=20.01.2021&amp;dst=100037&amp;fld=134" TargetMode="External"/><Relationship Id="rId11" Type="http://schemas.openxmlformats.org/officeDocument/2006/relationships/fontTable" Target="fontTable.xml"/><Relationship Id="rId5" Type="http://schemas.openxmlformats.org/officeDocument/2006/relationships/hyperlink" Target="https://login.consultant.ru/link/?req=doc&amp;base=MNV&amp;n=181906&amp;date=20.01.2021&amp;dst=100036&amp;fld=134" TargetMode="External"/><Relationship Id="rId10" Type="http://schemas.openxmlformats.org/officeDocument/2006/relationships/hyperlink" Target="https://login.consultant.ru/link/?req=doc&amp;base=MNV&amp;n=207956&amp;date=20.01.2021&amp;dst=100008&amp;fld=134" TargetMode="External"/><Relationship Id="rId4" Type="http://schemas.openxmlformats.org/officeDocument/2006/relationships/hyperlink" Target="https://login.consultant.ru/link/?req=doc&amp;base=RZR&amp;n=368636&amp;date=20.01.2021&amp;dst=11429&amp;fld=134" TargetMode="External"/><Relationship Id="rId9" Type="http://schemas.openxmlformats.org/officeDocument/2006/relationships/hyperlink" Target="https://login.consultant.ru/link/?req=doc&amp;base=MNV&amp;n=190175&amp;date=20.01.2021&amp;dst=10000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1807</Words>
  <Characters>10718</Characters>
  <Application>Microsoft Office Word</Application>
  <DocSecurity>2</DocSecurity>
  <Lines>159</Lines>
  <Paragraphs>47</Paragraphs>
  <ScaleCrop>false</ScaleCrop>
  <HeadingPairs>
    <vt:vector size="2" baseType="variant">
      <vt:variant>
        <vt:lpstr>Название</vt:lpstr>
      </vt:variant>
      <vt:variant>
        <vt:i4>1</vt:i4>
      </vt:variant>
    </vt:vector>
  </HeadingPairs>
  <TitlesOfParts>
    <vt:vector size="1" baseType="lpstr">
      <vt:lpstr>Закон г. Москвы от 17.12.2014 N 62(ред. от 11.11.2020)"О торговом сборе"</vt:lpstr>
    </vt:vector>
  </TitlesOfParts>
  <Company>КонсультантПлюс Версия 4018.00.50</Company>
  <LinksUpToDate>false</LinksUpToDate>
  <CharactersWithSpaces>12478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г. Москвы от 17.12.2014 N 62(ред. от 11.11.2020)"О торговом сборе"</dc:title>
  <dc:subject/>
  <dc:creator>RePack by Diakov</dc:creator>
  <cp:keywords/>
  <dc:description/>
  <cp:lastModifiedBy>RePack by Diakov</cp:lastModifiedBy>
  <cp:revision>2</cp:revision>
  <dcterms:created xsi:type="dcterms:W3CDTF">2021-01-20T07:09:00Z</dcterms:created>
  <dcterms:modified xsi:type="dcterms:W3CDTF">2021-01-20T07:09:00Z</dcterms:modified>
</cp:coreProperties>
</file>